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B27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патентных поверенных Российской Федерации</w:t>
      </w:r>
    </w:p>
    <w:p w:rsidR="00000000" w:rsidRDefault="007D3B27">
      <w:pPr>
        <w:pStyle w:val="right"/>
      </w:pPr>
      <w:r>
        <w:t>Приложение к Приказу Роспатента от 18.04.2011</w:t>
      </w:r>
    </w:p>
    <w:p w:rsidR="00000000" w:rsidRDefault="007D3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B27">
      <w:pPr>
        <w:pStyle w:val="HTML"/>
      </w:pPr>
      <w:r>
        <w:t xml:space="preserve">                                  ВЫПИСКА</w:t>
      </w:r>
    </w:p>
    <w:p w:rsidR="00000000" w:rsidRDefault="007D3B27">
      <w:pPr>
        <w:pStyle w:val="HTML"/>
      </w:pPr>
      <w:r>
        <w:t>из Реестра патентных поверенных Российской Федерации</w:t>
      </w:r>
    </w:p>
    <w:p w:rsidR="00000000" w:rsidRDefault="007D3B27">
      <w:pPr>
        <w:pStyle w:val="HTML"/>
      </w:pPr>
    </w:p>
    <w:p w:rsidR="00000000" w:rsidRDefault="007D3B27">
      <w:pPr>
        <w:pStyle w:val="HTML"/>
      </w:pPr>
      <w:r>
        <w:t>(поле для изложения сведений из Реестра)</w:t>
      </w:r>
    </w:p>
    <w:p w:rsidR="00000000" w:rsidRDefault="007D3B27">
      <w:pPr>
        <w:pStyle w:val="HTML"/>
      </w:pPr>
    </w:p>
    <w:p w:rsidR="00000000" w:rsidRDefault="007D3B27">
      <w:pPr>
        <w:pStyle w:val="HTML"/>
      </w:pPr>
      <w:r>
        <w:t>Председатель квалификационной</w:t>
      </w:r>
    </w:p>
    <w:p w:rsidR="00000000" w:rsidRDefault="007D3B27">
      <w:pPr>
        <w:pStyle w:val="HTML"/>
      </w:pPr>
      <w:r>
        <w:t>комиссии Роспатента</w:t>
      </w:r>
    </w:p>
    <w:p w:rsidR="00000000" w:rsidRDefault="007D3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B27">
      <w:pPr>
        <w:pStyle w:val="right"/>
      </w:pPr>
      <w:r>
        <w:t>Источник - Приказ Роспатента от 18.04.2011 № 51</w:t>
      </w:r>
    </w:p>
    <w:p w:rsidR="00000000" w:rsidRDefault="007D3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https://порядокправа.рф/obrazecy/vypiska_iz_reestra_patentnyx_poverennyx_rossijskoj_federacii.htm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27"/>
    <w:rsid w:val="007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1BA31-4826-4867-8ED6-7242DA81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patentnyx_poverenny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патентных поверенных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