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94E0A">
      <w:pPr>
        <w:pStyle w:val="1"/>
        <w:rPr>
          <w:rFonts w:eastAsia="Times New Roman"/>
        </w:rPr>
      </w:pPr>
      <w:r>
        <w:rPr>
          <w:rFonts w:eastAsia="Times New Roman"/>
        </w:rPr>
        <w:t>Ведомость расчетных данных по искусственным сооружениям на участке (перегоне)</w:t>
      </w:r>
    </w:p>
    <w:p w:rsidR="00000000" w:rsidRDefault="00394E0A">
      <w:pPr>
        <w:pStyle w:val="right"/>
      </w:pPr>
      <w:r>
        <w:t>Форма приложения Г к Техническим условиям на работы по реконструкции (модернизации) и ремонту железнодорожного пути</w:t>
      </w:r>
    </w:p>
    <w:p w:rsidR="00000000" w:rsidRDefault="00394E0A">
      <w:pPr>
        <w:spacing w:after="240"/>
        <w:rPr>
          <w:rFonts w:ascii="Times New Roman" w:eastAsia="Times New Roman" w:hAnsi="Times New Roman"/>
          <w:sz w:val="24"/>
          <w:szCs w:val="24"/>
        </w:rPr>
      </w:pPr>
    </w:p>
    <w:p w:rsidR="00000000" w:rsidRDefault="00394E0A">
      <w:pPr>
        <w:pStyle w:val="3"/>
        <w:rPr>
          <w:rFonts w:eastAsia="Times New Roman"/>
        </w:rPr>
      </w:pPr>
      <w:r>
        <w:rPr>
          <w:rFonts w:eastAsia="Times New Roman"/>
        </w:rPr>
        <w:t xml:space="preserve">Ведомость расчетных </w:t>
      </w:r>
      <w:r>
        <w:rPr>
          <w:rFonts w:eastAsia="Times New Roman"/>
        </w:rPr>
        <w:t>данных по искусственным сооружениям на участке (перегоне) ____________</w:t>
      </w:r>
    </w:p>
    <w:p w:rsidR="00000000" w:rsidRDefault="00394E0A">
      <w:pPr>
        <w:pStyle w:val="left"/>
      </w:pPr>
      <w:r>
        <w:t>N п/п</w:t>
      </w:r>
    </w:p>
    <w:p w:rsidR="00000000" w:rsidRDefault="00394E0A">
      <w:pPr>
        <w:pStyle w:val="3"/>
        <w:rPr>
          <w:rFonts w:eastAsia="Times New Roman"/>
        </w:rPr>
      </w:pPr>
      <w:r>
        <w:rPr>
          <w:rFonts w:eastAsia="Times New Roman"/>
        </w:rPr>
        <w:t>Местоположение сооружения</w:t>
      </w:r>
    </w:p>
    <w:p w:rsidR="00000000" w:rsidRDefault="00394E0A">
      <w:pPr>
        <w:pStyle w:val="left"/>
      </w:pPr>
      <w:r>
        <w:t>Высота насыпи, м</w:t>
      </w:r>
    </w:p>
    <w:p w:rsidR="00000000" w:rsidRDefault="00394E0A">
      <w:pPr>
        <w:pStyle w:val="left"/>
      </w:pPr>
      <w:r>
        <w:t>План линии</w:t>
      </w:r>
    </w:p>
    <w:p w:rsidR="00000000" w:rsidRDefault="00394E0A">
      <w:pPr>
        <w:pStyle w:val="left"/>
      </w:pPr>
      <w:r>
        <w:t>Уклон профиля по ходу, км</w:t>
      </w:r>
    </w:p>
    <w:p w:rsidR="00000000" w:rsidRDefault="00394E0A">
      <w:pPr>
        <w:pStyle w:val="left"/>
      </w:pPr>
      <w:r>
        <w:t>Характер водотока</w:t>
      </w:r>
    </w:p>
    <w:p w:rsidR="00000000" w:rsidRDefault="00394E0A">
      <w:pPr>
        <w:pStyle w:val="left"/>
      </w:pPr>
      <w:r>
        <w:t>Направление течения</w:t>
      </w:r>
    </w:p>
    <w:p w:rsidR="00000000" w:rsidRDefault="00394E0A">
      <w:pPr>
        <w:pStyle w:val="3"/>
        <w:rPr>
          <w:rFonts w:eastAsia="Times New Roman"/>
        </w:rPr>
      </w:pPr>
      <w:r>
        <w:rPr>
          <w:rFonts w:eastAsia="Times New Roman"/>
        </w:rPr>
        <w:t>Существующие сооружения Проектируемые сооружения</w:t>
      </w:r>
    </w:p>
    <w:p w:rsidR="00000000" w:rsidRDefault="00394E0A">
      <w:pPr>
        <w:pStyle w:val="left"/>
      </w:pPr>
      <w:r>
        <w:t>ПК+ водоразд</w:t>
      </w:r>
      <w:r>
        <w:t>ела</w:t>
      </w:r>
    </w:p>
    <w:p w:rsidR="00000000" w:rsidRDefault="00394E0A">
      <w:pPr>
        <w:pStyle w:val="left"/>
      </w:pPr>
      <w:r>
        <w:t>ПК+ низкой бровки полотна в пределах разлива</w:t>
      </w:r>
    </w:p>
    <w:p w:rsidR="00000000" w:rsidRDefault="00394E0A">
      <w:pPr>
        <w:pStyle w:val="3"/>
        <w:rPr>
          <w:rFonts w:eastAsia="Times New Roman"/>
        </w:rPr>
      </w:pPr>
      <w:r>
        <w:rPr>
          <w:rFonts w:eastAsia="Times New Roman"/>
        </w:rPr>
        <w:t>км ПК+ Тип сооружения Схема моста. Отверстие трубы, м Длина моста или трубы, м Тип сооружения Схема мост. Отверстие трубы, м Длина моста или трубы, м Род основания сооружения 1 2 3 4 5 6 7 8 9 10 11 12 13 14</w:t>
      </w:r>
      <w:r>
        <w:rPr>
          <w:rFonts w:eastAsia="Times New Roman"/>
        </w:rPr>
        <w:t xml:space="preserve"> 15 16 17</w:t>
      </w:r>
    </w:p>
    <w:p w:rsidR="00000000" w:rsidRDefault="00394E0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394E0A">
      <w:pPr>
        <w:pStyle w:val="right"/>
      </w:pPr>
      <w:r>
        <w:t>Продолжение формы Г</w:t>
      </w:r>
    </w:p>
    <w:p w:rsidR="00000000" w:rsidRDefault="00394E0A">
      <w:pPr>
        <w:spacing w:after="240"/>
        <w:rPr>
          <w:rFonts w:ascii="Times New Roman" w:eastAsia="Times New Roman" w:hAnsi="Times New Roman"/>
          <w:sz w:val="24"/>
          <w:szCs w:val="24"/>
        </w:rPr>
      </w:pPr>
    </w:p>
    <w:p w:rsidR="00000000" w:rsidRDefault="00394E0A">
      <w:pPr>
        <w:pStyle w:val="3"/>
        <w:rPr>
          <w:rFonts w:eastAsia="Times New Roman"/>
        </w:rPr>
      </w:pPr>
      <w:r>
        <w:rPr>
          <w:rFonts w:eastAsia="Times New Roman"/>
        </w:rPr>
        <w:t>Отметки в метрах Площадь бассейна, кв. км Расходы воды Скорости воды на выходе при </w:t>
      </w:r>
      <w:r>
        <w:rPr>
          <w:rFonts w:eastAsia="Times New Roman"/>
          <w:noProof/>
        </w:rPr>
        <w:drawing>
          <wp:inline distT="0" distB="0" distL="0" distR="0">
            <wp:extent cx="845820" cy="274320"/>
            <wp:effectExtent l="0" t="0" r="11430" b="11430"/>
            <wp:docPr id="7" name="Рисунок 7"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означение"/>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845820" cy="274320"/>
                    </a:xfrm>
                    <a:prstGeom prst="rect">
                      <a:avLst/>
                    </a:prstGeom>
                    <a:noFill/>
                    <a:ln>
                      <a:noFill/>
                    </a:ln>
                  </pic:spPr>
                </pic:pic>
              </a:graphicData>
            </a:graphic>
          </wp:inline>
        </w:drawing>
      </w:r>
    </w:p>
    <w:p w:rsidR="00000000" w:rsidRDefault="00394E0A">
      <w:pPr>
        <w:pStyle w:val="just"/>
        <w:outlineLvl w:val="3"/>
        <w:rPr>
          <w:b/>
          <w:bCs/>
          <w:sz w:val="27"/>
          <w:szCs w:val="27"/>
        </w:rPr>
      </w:pPr>
      <w:r>
        <w:rPr>
          <w:b/>
          <w:bCs/>
          <w:sz w:val="27"/>
          <w:szCs w:val="27"/>
        </w:rPr>
        <w:t>Глубина подпертой воды Отм</w:t>
      </w:r>
      <w:r>
        <w:rPr>
          <w:b/>
          <w:bCs/>
          <w:sz w:val="27"/>
          <w:szCs w:val="27"/>
        </w:rPr>
        <w:t>етки подпертых уровней воды Водораздельные дамбы (при необходимости) Примечание водораздела низкой бровки полотна подошвы рельса бровки полотна земли по оси сооружений для труб русла под мостом или лотка трубы на входе максимальный </w:t>
      </w:r>
      <w:r>
        <w:rPr>
          <w:b/>
          <w:bCs/>
          <w:noProof/>
          <w:sz w:val="27"/>
          <w:szCs w:val="27"/>
        </w:rPr>
        <w:drawing>
          <wp:inline distT="0" distB="0" distL="0" distR="0">
            <wp:extent cx="1051560" cy="274320"/>
            <wp:effectExtent l="0" t="0" r="15240" b="11430"/>
            <wp:docPr id="6" name="Рисунок 6"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бозначение"/>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1051560" cy="274320"/>
                    </a:xfrm>
                    <a:prstGeom prst="rect">
                      <a:avLst/>
                    </a:prstGeom>
                    <a:noFill/>
                    <a:ln>
                      <a:noFill/>
                    </a:ln>
                  </pic:spPr>
                </pic:pic>
              </a:graphicData>
            </a:graphic>
          </wp:inline>
        </w:drawing>
      </w:r>
    </w:p>
    <w:p w:rsidR="00000000" w:rsidRDefault="00394E0A">
      <w:pPr>
        <w:pStyle w:val="just"/>
        <w:outlineLvl w:val="3"/>
        <w:rPr>
          <w:b/>
          <w:bCs/>
          <w:sz w:val="27"/>
          <w:szCs w:val="27"/>
        </w:rPr>
      </w:pPr>
      <w:r>
        <w:rPr>
          <w:b/>
          <w:bCs/>
          <w:sz w:val="27"/>
          <w:szCs w:val="27"/>
        </w:rPr>
        <w:t>расчетный </w:t>
      </w:r>
      <w:r>
        <w:rPr>
          <w:b/>
          <w:bCs/>
          <w:noProof/>
          <w:sz w:val="27"/>
          <w:szCs w:val="27"/>
        </w:rPr>
        <w:drawing>
          <wp:inline distT="0" distB="0" distL="0" distR="0">
            <wp:extent cx="914400" cy="304800"/>
            <wp:effectExtent l="0" t="0" r="0" b="0"/>
            <wp:docPr id="5" name="Рисунок 5"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означение"/>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914400" cy="304800"/>
                    </a:xfrm>
                    <a:prstGeom prst="rect">
                      <a:avLst/>
                    </a:prstGeom>
                    <a:noFill/>
                    <a:ln>
                      <a:noFill/>
                    </a:ln>
                  </pic:spPr>
                </pic:pic>
              </a:graphicData>
            </a:graphic>
          </wp:inline>
        </w:drawing>
      </w:r>
    </w:p>
    <w:p w:rsidR="00000000" w:rsidRDefault="00394E0A">
      <w:pPr>
        <w:pStyle w:val="just"/>
        <w:outlineLvl w:val="3"/>
        <w:rPr>
          <w:b/>
          <w:bCs/>
          <w:sz w:val="27"/>
          <w:szCs w:val="27"/>
        </w:rPr>
      </w:pPr>
      <w:r>
        <w:rPr>
          <w:b/>
          <w:bCs/>
          <w:sz w:val="27"/>
          <w:szCs w:val="27"/>
        </w:rPr>
        <w:t>при </w:t>
      </w:r>
      <w:r>
        <w:rPr>
          <w:b/>
          <w:bCs/>
          <w:noProof/>
          <w:sz w:val="27"/>
          <w:szCs w:val="27"/>
        </w:rPr>
        <w:drawing>
          <wp:inline distT="0" distB="0" distL="0" distR="0">
            <wp:extent cx="533400" cy="259080"/>
            <wp:effectExtent l="0" t="0" r="0" b="7620"/>
            <wp:docPr id="4" name="Рисунок 4"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означение"/>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533400" cy="259080"/>
                    </a:xfrm>
                    <a:prstGeom prst="rect">
                      <a:avLst/>
                    </a:prstGeom>
                    <a:noFill/>
                    <a:ln>
                      <a:noFill/>
                    </a:ln>
                  </pic:spPr>
                </pic:pic>
              </a:graphicData>
            </a:graphic>
          </wp:inline>
        </w:drawing>
      </w:r>
    </w:p>
    <w:p w:rsidR="00000000" w:rsidRDefault="00394E0A">
      <w:pPr>
        <w:pStyle w:val="just"/>
        <w:outlineLvl w:val="3"/>
        <w:rPr>
          <w:b/>
          <w:bCs/>
          <w:sz w:val="27"/>
          <w:szCs w:val="27"/>
        </w:rPr>
      </w:pPr>
      <w:r>
        <w:rPr>
          <w:b/>
          <w:bCs/>
          <w:sz w:val="27"/>
          <w:szCs w:val="27"/>
        </w:rPr>
        <w:t>при </w:t>
      </w:r>
      <w:r>
        <w:rPr>
          <w:b/>
          <w:bCs/>
          <w:noProof/>
          <w:sz w:val="27"/>
          <w:szCs w:val="27"/>
        </w:rPr>
        <w:drawing>
          <wp:inline distT="0" distB="0" distL="0" distR="0">
            <wp:extent cx="426720" cy="274320"/>
            <wp:effectExtent l="0" t="0" r="11430" b="11430"/>
            <wp:docPr id="3" name="Рисунок 3"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означение"/>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426720" cy="274320"/>
                    </a:xfrm>
                    <a:prstGeom prst="rect">
                      <a:avLst/>
                    </a:prstGeom>
                    <a:noFill/>
                    <a:ln>
                      <a:noFill/>
                    </a:ln>
                  </pic:spPr>
                </pic:pic>
              </a:graphicData>
            </a:graphic>
          </wp:inline>
        </w:drawing>
      </w:r>
    </w:p>
    <w:p w:rsidR="00000000" w:rsidRDefault="00394E0A">
      <w:pPr>
        <w:pStyle w:val="stcen"/>
        <w:outlineLvl w:val="3"/>
        <w:rPr>
          <w:b/>
          <w:bCs/>
          <w:sz w:val="27"/>
          <w:szCs w:val="27"/>
        </w:rPr>
      </w:pPr>
      <w:r>
        <w:rPr>
          <w:b/>
          <w:bCs/>
          <w:noProof/>
          <w:sz w:val="27"/>
          <w:szCs w:val="27"/>
        </w:rPr>
        <w:drawing>
          <wp:inline distT="0" distB="0" distL="0" distR="0">
            <wp:extent cx="769620" cy="259080"/>
            <wp:effectExtent l="0" t="0" r="11430" b="7620"/>
            <wp:docPr id="2" name="Рисунок 2"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означение"/>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769620" cy="259080"/>
                    </a:xfrm>
                    <a:prstGeom prst="rect">
                      <a:avLst/>
                    </a:prstGeom>
                    <a:noFill/>
                    <a:ln>
                      <a:noFill/>
                    </a:ln>
                  </pic:spPr>
                </pic:pic>
              </a:graphicData>
            </a:graphic>
          </wp:inline>
        </w:drawing>
      </w:r>
    </w:p>
    <w:p w:rsidR="00000000" w:rsidRDefault="00394E0A">
      <w:pPr>
        <w:pStyle w:val="stcen"/>
        <w:outlineLvl w:val="3"/>
        <w:rPr>
          <w:b/>
          <w:bCs/>
          <w:sz w:val="27"/>
          <w:szCs w:val="27"/>
        </w:rPr>
      </w:pPr>
      <w:r>
        <w:rPr>
          <w:b/>
          <w:bCs/>
          <w:noProof/>
          <w:sz w:val="27"/>
          <w:szCs w:val="27"/>
        </w:rPr>
        <w:drawing>
          <wp:inline distT="0" distB="0" distL="0" distR="0">
            <wp:extent cx="662940" cy="274320"/>
            <wp:effectExtent l="0" t="0" r="3810" b="11430"/>
            <wp:docPr id="1" name="Рисунок 1"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означение"/>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662940" cy="274320"/>
                    </a:xfrm>
                    <a:prstGeom prst="rect">
                      <a:avLst/>
                    </a:prstGeom>
                    <a:noFill/>
                    <a:ln>
                      <a:noFill/>
                    </a:ln>
                  </pic:spPr>
                </pic:pic>
              </a:graphicData>
            </a:graphic>
          </wp:inline>
        </w:drawing>
      </w:r>
    </w:p>
    <w:p w:rsidR="00000000" w:rsidRDefault="00394E0A">
      <w:pPr>
        <w:pStyle w:val="just"/>
        <w:outlineLvl w:val="3"/>
        <w:rPr>
          <w:b/>
          <w:bCs/>
          <w:sz w:val="27"/>
          <w:szCs w:val="27"/>
        </w:rPr>
      </w:pPr>
      <w:r>
        <w:rPr>
          <w:b/>
          <w:bCs/>
          <w:sz w:val="27"/>
          <w:szCs w:val="27"/>
        </w:rPr>
        <w:t>ПК+ Отметка верха, м 18 19 20 21 22 23 24 25 26 27 28 29 30 31 32 33 34</w:t>
      </w:r>
    </w:p>
    <w:p w:rsidR="00000000" w:rsidRDefault="00394E0A">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394E0A">
      <w:pPr>
        <w:pStyle w:val="just"/>
      </w:pPr>
      <w:r>
        <w:t>Примечание: Ведомость представляется в составе пояснительной записки проектной документации.</w:t>
      </w:r>
    </w:p>
    <w:p w:rsidR="00000000" w:rsidRDefault="00394E0A">
      <w:pPr>
        <w:spacing w:after="240"/>
        <w:rPr>
          <w:rFonts w:ascii="Times New Roman" w:eastAsia="Times New Roman" w:hAnsi="Times New Roman"/>
          <w:sz w:val="24"/>
          <w:szCs w:val="24"/>
        </w:rPr>
      </w:pPr>
    </w:p>
    <w:p w:rsidR="00000000" w:rsidRDefault="00394E0A">
      <w:pPr>
        <w:pStyle w:val="just"/>
      </w:pPr>
      <w:r>
        <w:t>Д - ведомость негабаритных мест (обязательное согласование с габаритной станцией дирекции инфраструктуры).</w:t>
      </w:r>
    </w:p>
    <w:p w:rsidR="00000000" w:rsidRDefault="00394E0A">
      <w:pPr>
        <w:spacing w:after="240"/>
        <w:rPr>
          <w:rFonts w:ascii="Times New Roman" w:eastAsia="Times New Roman" w:hAnsi="Times New Roman"/>
          <w:sz w:val="24"/>
          <w:szCs w:val="24"/>
        </w:rPr>
      </w:pPr>
    </w:p>
    <w:p w:rsidR="00000000" w:rsidRDefault="00394E0A">
      <w:pPr>
        <w:pStyle w:val="right"/>
      </w:pPr>
      <w:r>
        <w:t>Источник - Распоряжение ОАО "РЖД" от 18.01.2013 № 75р</w:t>
      </w:r>
    </w:p>
    <w:p w:rsidR="00000000" w:rsidRDefault="00394E0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11"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12" w:history="1">
        <w:r>
          <w:rPr>
            <w:rStyle w:val="a3"/>
            <w:rFonts w:ascii="Times New Roman" w:eastAsia="Times New Roman" w:hAnsi="Times New Roman"/>
            <w:sz w:val="24"/>
            <w:szCs w:val="24"/>
          </w:rPr>
          <w:t>https://порядокп</w:t>
        </w:r>
        <w:r>
          <w:rPr>
            <w:rStyle w:val="a3"/>
            <w:rFonts w:ascii="Times New Roman" w:eastAsia="Times New Roman" w:hAnsi="Times New Roman"/>
            <w:sz w:val="24"/>
            <w:szCs w:val="24"/>
          </w:rPr>
          <w:t>рава.рф/obrazecy/vedomost_raschetnyx_dannyx_po_iskusstvennym_sooruzheniyam_na_uchastke_peregone.htm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94E0A"/>
    <w:rsid w:val="00394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0CD641DC-C1C9-46F0-B4D0-1584A2FC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tcen">
    <w:name w:val="stcen"/>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1087;&#1086;&#1088;&#1103;&#1076;&#1086;&#1082;&#1087;&#1088;&#1072;&#1074;&#1072;.&#1088;&#1092;/images/pic5.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1087;&#1086;&#1088;&#1103;&#1076;&#1086;&#1082;&#1087;&#1088;&#1072;&#1074;&#1072;.&#1088;&#1092;/images/pic4.png" TargetMode="External"/><Relationship Id="rId12" Type="http://schemas.openxmlformats.org/officeDocument/2006/relationships/hyperlink" Target="https://&#1087;&#1086;&#1088;&#1103;&#1076;&#1086;&#1082;&#1087;&#1088;&#1072;&#1074;&#1072;.&#1088;&#1092;/vedomost_raschetnyx_dannyx_po_iskusstvennym_sooruzheniyam_na_uchastke_peregon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1087;&#1086;&#1088;&#1103;&#1076;&#1086;&#1082;&#1087;&#1088;&#1072;&#1074;&#1072;.&#1088;&#1092;/images/pic3.png" TargetMode="External"/><Relationship Id="rId11" Type="http://schemas.openxmlformats.org/officeDocument/2006/relationships/hyperlink" Target="https://&#1087;&#1086;&#1088;&#1103;&#1076;&#1086;&#1082;&#1087;&#1088;&#1072;&#1074;&#1072;.&#1088;&#1092;" TargetMode="External"/><Relationship Id="rId5" Type="http://schemas.openxmlformats.org/officeDocument/2006/relationships/image" Target="http://&#1087;&#1086;&#1088;&#1103;&#1076;&#1086;&#1082;&#1087;&#1088;&#1072;&#1074;&#1072;.&#1088;&#1092;/images/pic2.png" TargetMode="External"/><Relationship Id="rId10" Type="http://schemas.openxmlformats.org/officeDocument/2006/relationships/image" Target="http://&#1087;&#1086;&#1088;&#1103;&#1076;&#1086;&#1082;&#1087;&#1088;&#1072;&#1074;&#1072;.&#1088;&#1092;/images/pic7.png" TargetMode="External"/><Relationship Id="rId4" Type="http://schemas.openxmlformats.org/officeDocument/2006/relationships/image" Target="http://&#1087;&#1086;&#1088;&#1103;&#1076;&#1086;&#1082;&#1087;&#1088;&#1072;&#1074;&#1072;.&#1088;&#1092;/images/pic1.png" TargetMode="External"/><Relationship Id="rId9" Type="http://schemas.openxmlformats.org/officeDocument/2006/relationships/image" Target="http://&#1087;&#1086;&#1088;&#1103;&#1076;&#1086;&#1082;&#1087;&#1088;&#1072;&#1074;&#1072;.&#1088;&#1092;/images/pic6.pn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Ведомость расчетных данных по искусственным сооружениям на участке (перегоне) - DOC</dc:title>
  <dc:subject/>
  <dc:creator>Максим Давыдченков</dc:creator>
  <cp:keywords/>
  <dc:description/>
  <cp:lastModifiedBy>Максим Давыдченков</cp:lastModifiedBy>
  <cp:revision>2</cp:revision>
  <dcterms:created xsi:type="dcterms:W3CDTF">2022-08-25T12:34:00Z</dcterms:created>
  <dcterms:modified xsi:type="dcterms:W3CDTF">2022-08-25T12:34:00Z</dcterms:modified>
</cp:coreProperties>
</file>