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894">
      <w:pPr>
        <w:pStyle w:val="1"/>
        <w:rPr>
          <w:rFonts w:eastAsia="Times New Roman"/>
        </w:rPr>
      </w:pPr>
      <w:r>
        <w:rPr>
          <w:rFonts w:eastAsia="Times New Roman"/>
        </w:rPr>
        <w:t>Требования, предъявляемые к микрофинансовым организациям и субъектам малого и среднего предпринимательства Московской области для получения займа</w:t>
      </w:r>
    </w:p>
    <w:p w:rsidR="00000000" w:rsidRDefault="00983894">
      <w:pPr>
        <w:pStyle w:val="right"/>
      </w:pPr>
      <w:r>
        <w:t>Приложение N 4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983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894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ЗАЕМЩИКАМ</w:t>
      </w:r>
    </w:p>
    <w:p w:rsidR="00000000" w:rsidRDefault="00983894">
      <w:pPr>
        <w:pStyle w:val="just"/>
      </w:pPr>
      <w:r>
        <w:t>Требования, предъявляемые к микрофинансовым организациям и субъектам малого и среднего п</w:t>
      </w:r>
      <w:r>
        <w:t>редпринимательства для получения займа:</w:t>
      </w:r>
    </w:p>
    <w:p w:rsidR="00000000" w:rsidRDefault="00983894">
      <w:pPr>
        <w:pStyle w:val="just"/>
      </w:pPr>
      <w:r>
        <w:t>1. Регистрация на территории Московской области в качестве налогоплательщика.</w:t>
      </w:r>
    </w:p>
    <w:p w:rsidR="00000000" w:rsidRDefault="00983894">
      <w:pPr>
        <w:pStyle w:val="just"/>
      </w:pPr>
      <w:r>
        <w:t>2. Наличие у Заемщика достаточного и ликвидного обеспечения займа.</w:t>
      </w:r>
    </w:p>
    <w:p w:rsidR="00000000" w:rsidRDefault="00983894">
      <w:pPr>
        <w:pStyle w:val="just"/>
      </w:pPr>
      <w:r>
        <w:t>3. В отношении Заемщика не применяется процедура банкротства.</w:t>
      </w:r>
    </w:p>
    <w:p w:rsidR="00000000" w:rsidRDefault="00983894">
      <w:pPr>
        <w:pStyle w:val="just"/>
      </w:pPr>
      <w:r>
        <w:t>Для субъе</w:t>
      </w:r>
      <w:r>
        <w:t>ктов малого и среднего предпринимательства:</w:t>
      </w:r>
    </w:p>
    <w:p w:rsidR="00000000" w:rsidRDefault="00983894">
      <w:pPr>
        <w:pStyle w:val="just"/>
      </w:pPr>
      <w:r>
        <w:t>4. Заемщик соответствует требованиям, установленным для субъектов малого и среднего предпринимательства, а именно:</w:t>
      </w:r>
    </w:p>
    <w:p w:rsidR="00000000" w:rsidRDefault="00983894">
      <w:pPr>
        <w:pStyle w:val="just"/>
      </w:pPr>
      <w:r>
        <w:t>4.1. Для юридических лиц - суммарная доля участия Российской Федерации, субъектов Российской Феде</w:t>
      </w:r>
      <w:r>
        <w:t>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</w:t>
      </w:r>
      <w:r>
        <w:t>евышать двадцать пять процентов (за исключением активов акционерных инвестиционных фондов и закрытых паевых инвестиционных фондов), доля участия, принадлежащая одному или нескольким юридическим лицам, не являющимся субъектами малого и среднего предпринимат</w:t>
      </w:r>
      <w:r>
        <w:t>ельства, не должна превышать двадцать пять процентов.</w:t>
      </w:r>
    </w:p>
    <w:p w:rsidR="00000000" w:rsidRDefault="00983894">
      <w:pPr>
        <w:pStyle w:val="just"/>
      </w:pPr>
      <w:r>
        <w:t>4.2. Средняя за последний отчетный период численность работников не превышает 250 человек.</w:t>
      </w:r>
    </w:p>
    <w:p w:rsidR="00000000" w:rsidRDefault="00983894">
      <w:pPr>
        <w:pStyle w:val="just"/>
      </w:pPr>
      <w:r>
        <w:t>4.3. Предельный объем выручки от реализации товаров (работ, услуг) без учета НДС за предшествующий год не превы</w:t>
      </w:r>
      <w:r>
        <w:t>шает предельные значения, установленные Правительством России для каждой категории субъектов малого и среднего предпринимательства.</w:t>
      </w:r>
    </w:p>
    <w:p w:rsidR="00000000" w:rsidRDefault="00983894">
      <w:pPr>
        <w:pStyle w:val="just"/>
      </w:pPr>
      <w:r>
        <w:t>Выдача займов не может оказываться в отношении субъектов малого и среднего предпринимательства:</w:t>
      </w:r>
    </w:p>
    <w:p w:rsidR="00000000" w:rsidRDefault="00983894">
      <w:pPr>
        <w:pStyle w:val="just"/>
      </w:pPr>
      <w:r>
        <w:lastRenderedPageBreak/>
        <w:t xml:space="preserve">5. Не подлежат выдаче займы </w:t>
      </w:r>
      <w:r>
        <w:t>предприятиям:</w:t>
      </w:r>
    </w:p>
    <w:p w:rsidR="00000000" w:rsidRDefault="00983894">
      <w:pPr>
        <w:pStyle w:val="just"/>
      </w:pPr>
      <w:r>
        <w:t>- являющимся кредитными организациями, страховыми организациями,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000000" w:rsidRDefault="00983894">
      <w:pPr>
        <w:pStyle w:val="just"/>
      </w:pPr>
      <w:r>
        <w:t>- являющимся участниками соглашений о разделе прод</w:t>
      </w:r>
      <w:r>
        <w:t>укции;</w:t>
      </w:r>
    </w:p>
    <w:p w:rsidR="00000000" w:rsidRDefault="00983894">
      <w:pPr>
        <w:pStyle w:val="just"/>
      </w:pPr>
      <w:r>
        <w:t>- осуществляющим предпринимательскую деятельность в сфере игорного бизнеса;</w:t>
      </w:r>
    </w:p>
    <w:p w:rsidR="00000000" w:rsidRDefault="00983894">
      <w:pPr>
        <w:pStyle w:val="just"/>
      </w:pPr>
      <w:r>
        <w:t>-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</w:t>
      </w:r>
      <w:r>
        <w:t xml:space="preserve"> случаев, предусмотренных международными договорами Российской Федерации;</w:t>
      </w:r>
    </w:p>
    <w:p w:rsidR="00000000" w:rsidRDefault="00983894">
      <w:pPr>
        <w:pStyle w:val="just"/>
      </w:pPr>
      <w:r>
        <w:t>- осуществляющим производство и реализацию подакцизных товаров, а также добычу и реализацию полезных ископаемых;</w:t>
      </w:r>
    </w:p>
    <w:p w:rsidR="00000000" w:rsidRDefault="00983894">
      <w:pPr>
        <w:pStyle w:val="just"/>
      </w:pPr>
      <w:r>
        <w:t>- не являющимся производственными предприятиями сферы услуг (риэлторс</w:t>
      </w:r>
      <w:r>
        <w:t>кие компании, оказание консультационных, консалтинговых услуг, осуществляющим сдачу внаем нежилых и жилых помещений);</w:t>
      </w:r>
    </w:p>
    <w:p w:rsidR="00000000" w:rsidRDefault="00983894">
      <w:pPr>
        <w:pStyle w:val="just"/>
      </w:pPr>
      <w:r>
        <w:t>- осуществляющим инвестиционную деятельность.</w:t>
      </w:r>
    </w:p>
    <w:p w:rsidR="00000000" w:rsidRDefault="00983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894">
      <w:pPr>
        <w:pStyle w:val="right"/>
      </w:pPr>
      <w:r>
        <w:t>Источник - Приказ Министра экономики Правительства МО от 18.12.2009 № 194</w:t>
      </w:r>
    </w:p>
    <w:p w:rsidR="00000000" w:rsidRDefault="00983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рядокправа.рф/obrazecy/trebovaniya_predyavlyaemye_k_mikrofinansovym_organizaciyam_i_subektam_malogo_i_srednego_predprinimate.htm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94"/>
    <w:rsid w:val="0098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1DD88-3AF7-4FA5-B2EF-F18213D7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predyavlyaemye_k_mikrofinansovym_organizaciyam_i_subektam_malogo_i_srednego_predprini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Требования, предъявляемые к микрофинансовым организациям и субъектам малого и среднего предпринимательства Московской области для получения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2022-08-24T17:05:00Z</dcterms:created>
  <dcterms:modified xsi:type="dcterms:W3CDTF">2022-08-24T17:05:00Z</dcterms:modified>
</cp:coreProperties>
</file>