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2A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основных мерах правового регулирования в сфере реализации государственной программы</w:t>
      </w:r>
    </w:p>
    <w:p w:rsidR="00000000" w:rsidRDefault="00B542A4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B54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2A4">
      <w:pPr>
        <w:pStyle w:val="right"/>
      </w:pPr>
      <w:r>
        <w:t>Таблица 3</w:t>
      </w:r>
    </w:p>
    <w:p w:rsidR="00000000" w:rsidRDefault="00B54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2A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</w:t>
      </w:r>
      <w:r>
        <w:rPr>
          <w:rFonts w:eastAsia="Times New Roman"/>
        </w:rPr>
        <w:t>основных мерах правового регулирования в сфере реализации государственной программы</w:t>
      </w:r>
    </w:p>
    <w:p w:rsidR="00000000" w:rsidRDefault="00B542A4">
      <w:pPr>
        <w:pStyle w:val="3"/>
        <w:rPr>
          <w:rFonts w:eastAsia="Times New Roman"/>
        </w:rPr>
      </w:pPr>
      <w:r>
        <w:rPr>
          <w:rFonts w:eastAsia="Times New Roman"/>
        </w:rPr>
        <w:t>N п/п Вид нормативного правового акта Основные положения нормативного правового акта Ответственный исполнитель Ожидаемый срок принятия 1 2 3 4 5</w:t>
      </w:r>
    </w:p>
    <w:p w:rsidR="00000000" w:rsidRDefault="00B542A4">
      <w:pPr>
        <w:pStyle w:val="3"/>
        <w:rPr>
          <w:rFonts w:eastAsia="Times New Roman"/>
        </w:rPr>
      </w:pPr>
      <w:r>
        <w:rPr>
          <w:rFonts w:eastAsia="Times New Roman"/>
        </w:rPr>
        <w:t>Подпрограмма 1</w:t>
      </w:r>
    </w:p>
    <w:p w:rsidR="00000000" w:rsidRDefault="00B542A4">
      <w:pPr>
        <w:pStyle w:val="3"/>
        <w:rPr>
          <w:rFonts w:eastAsia="Times New Roman"/>
        </w:rPr>
      </w:pPr>
      <w:r>
        <w:rPr>
          <w:rFonts w:eastAsia="Times New Roman"/>
        </w:rPr>
        <w:t>Ведомственна</w:t>
      </w:r>
      <w:r>
        <w:rPr>
          <w:rFonts w:eastAsia="Times New Roman"/>
        </w:rPr>
        <w:t>я целевая программа/(Основное мероприятие) 1.1</w:t>
      </w:r>
    </w:p>
    <w:p w:rsidR="00000000" w:rsidRDefault="00B542A4">
      <w:pPr>
        <w:pStyle w:val="3"/>
        <w:rPr>
          <w:rFonts w:eastAsia="Times New Roman"/>
        </w:rPr>
      </w:pPr>
      <w:r>
        <w:rPr>
          <w:rFonts w:eastAsia="Times New Roman"/>
        </w:rPr>
        <w:t>Ведомственная целевая программа/(Основное мероприятие) 1.2</w:t>
      </w:r>
    </w:p>
    <w:p w:rsidR="00000000" w:rsidRDefault="00B542A4">
      <w:pPr>
        <w:pStyle w:val="left"/>
      </w:pPr>
      <w:r>
        <w:t>...</w:t>
      </w:r>
    </w:p>
    <w:p w:rsidR="00000000" w:rsidRDefault="00B54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2A4">
      <w:pPr>
        <w:pStyle w:val="right"/>
      </w:pPr>
      <w:r>
        <w:t>Источник - Приказ Минэкономразвития России от 20.11.2013 № 690</w:t>
      </w:r>
    </w:p>
    <w:p w:rsidR="00000000" w:rsidRDefault="00B54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https://порядокправа.рф/obrazecy/svedeniya_ob_osnovnyx_merax_pravovogo_reguliro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vaniya_v_sfere_realizacii_gosudarstvennoj_programmy.htm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A4"/>
    <w:rsid w:val="00B5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1E67E0-4881-4741-B368-EA85515BB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merax_pravovogo_regulirovaniya_v_sfere_realizacii_gosudarstvenn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мерах правового регулирования в сфере реализации государственной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2022-08-23T10:37:00Z</dcterms:created>
  <dcterms:modified xsi:type="dcterms:W3CDTF">2022-08-23T10:37:00Z</dcterms:modified>
</cp:coreProperties>
</file>