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23C1">
      <w:pPr>
        <w:pStyle w:val="1"/>
        <w:rPr>
          <w:rFonts w:eastAsia="Times New Roman"/>
        </w:rPr>
      </w:pPr>
      <w:r>
        <w:rPr>
          <w:rFonts w:eastAsia="Times New Roman"/>
        </w:rPr>
        <w:t>Структура полезного отпуска тепловой энергии (таблица № П1.8)</w:t>
      </w:r>
    </w:p>
    <w:p w:rsidR="00000000" w:rsidRDefault="000D23C1">
      <w:pPr>
        <w:pStyle w:val="right"/>
      </w:pPr>
      <w:r>
        <w:t xml:space="preserve">Приложение 1 к Методическим указаниям по расчету регулируемых </w:t>
      </w:r>
      <w:r>
        <w:t>тарифов и цен на электрическую (тепловую) энергию на розничном (потребительском) рынке (в ред. Приказа ФСТ России от 22.12.2009 N 469-э/8)</w:t>
      </w:r>
    </w:p>
    <w:p w:rsidR="00000000" w:rsidRDefault="000D23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3C1">
      <w:pPr>
        <w:pStyle w:val="right"/>
      </w:pPr>
      <w:r>
        <w:t>Таблица N П1.8</w:t>
      </w:r>
    </w:p>
    <w:p w:rsidR="00000000" w:rsidRDefault="000D23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3C1">
      <w:pPr>
        <w:pStyle w:val="3"/>
        <w:rPr>
          <w:rFonts w:eastAsia="Times New Roman"/>
        </w:rPr>
      </w:pPr>
      <w:r>
        <w:rPr>
          <w:rFonts w:eastAsia="Times New Roman"/>
        </w:rPr>
        <w:t>Структура полезного отпуска тепловой энергии мощности</w:t>
      </w:r>
    </w:p>
    <w:p w:rsidR="00000000" w:rsidRDefault="000D23C1">
      <w:pPr>
        <w:pStyle w:val="left"/>
      </w:pPr>
      <w:r>
        <w:t>N</w:t>
      </w:r>
    </w:p>
    <w:p w:rsidR="00000000" w:rsidRDefault="000D23C1">
      <w:pPr>
        <w:pStyle w:val="left"/>
      </w:pPr>
      <w:r>
        <w:t>Потребители</w:t>
      </w:r>
    </w:p>
    <w:p w:rsidR="00000000" w:rsidRDefault="000D23C1">
      <w:pPr>
        <w:pStyle w:val="left"/>
      </w:pPr>
      <w:r>
        <w:t>Базовый период</w:t>
      </w:r>
    </w:p>
    <w:p w:rsidR="00000000" w:rsidRDefault="000D23C1">
      <w:pPr>
        <w:pStyle w:val="left"/>
      </w:pPr>
      <w:r>
        <w:t>Период регулирова</w:t>
      </w:r>
      <w:r>
        <w:t>ния</w:t>
      </w:r>
    </w:p>
    <w:p w:rsidR="00000000" w:rsidRDefault="000D23C1">
      <w:pPr>
        <w:pStyle w:val="left"/>
      </w:pPr>
      <w:r>
        <w:t>Суммарная тепловая нагрузка по совокупности договоров теплоснабжения, Гкал/час</w:t>
      </w:r>
    </w:p>
    <w:p w:rsidR="00000000" w:rsidRDefault="000D23C1">
      <w:pPr>
        <w:pStyle w:val="left"/>
      </w:pPr>
      <w:r>
        <w:t>Энергия, тыс. Гкал</w:t>
      </w:r>
    </w:p>
    <w:p w:rsidR="00000000" w:rsidRDefault="000D23C1">
      <w:pPr>
        <w:pStyle w:val="left"/>
      </w:pPr>
      <w:r>
        <w:t>Суммарная тепловая нагрузка по совокупности договоров теплоснабжения, Гкал/час</w:t>
      </w:r>
    </w:p>
    <w:p w:rsidR="00000000" w:rsidRDefault="000D23C1">
      <w:pPr>
        <w:pStyle w:val="left"/>
      </w:pPr>
      <w:r>
        <w:t>Энергия, тыс. Гкал</w:t>
      </w:r>
    </w:p>
    <w:p w:rsidR="00000000" w:rsidRDefault="000D23C1">
      <w:pPr>
        <w:pStyle w:val="3"/>
        <w:rPr>
          <w:rFonts w:eastAsia="Times New Roman"/>
        </w:rPr>
      </w:pPr>
      <w:r>
        <w:rPr>
          <w:rFonts w:eastAsia="Times New Roman"/>
        </w:rPr>
        <w:t>1 2 3 4 5 6</w:t>
      </w:r>
    </w:p>
    <w:p w:rsidR="00000000" w:rsidRDefault="000D23C1">
      <w:pPr>
        <w:pStyle w:val="left"/>
      </w:pPr>
      <w:r>
        <w:t>1.</w:t>
      </w:r>
    </w:p>
    <w:p w:rsidR="00000000" w:rsidRDefault="000D23C1">
      <w:pPr>
        <w:pStyle w:val="left"/>
      </w:pPr>
      <w:r>
        <w:t>Всего отпущено потребителям</w:t>
      </w:r>
    </w:p>
    <w:p w:rsidR="00000000" w:rsidRDefault="000D23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3C1">
      <w:pPr>
        <w:pStyle w:val="left"/>
      </w:pPr>
      <w:r>
        <w:t>Горячая вода</w:t>
      </w:r>
    </w:p>
    <w:p w:rsidR="00000000" w:rsidRDefault="000D23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3C1">
      <w:pPr>
        <w:pStyle w:val="left"/>
      </w:pPr>
      <w:r>
        <w:t>Отборный пар</w:t>
      </w:r>
    </w:p>
    <w:p w:rsidR="00000000" w:rsidRDefault="000D23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3C1">
      <w:pPr>
        <w:pStyle w:val="left"/>
      </w:pPr>
      <w:r>
        <w:t>- от 1,2 до 2,5 кгс/кв.см</w:t>
      </w:r>
    </w:p>
    <w:p w:rsidR="00000000" w:rsidRDefault="000D23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3C1">
      <w:pPr>
        <w:pStyle w:val="left"/>
      </w:pPr>
      <w:r>
        <w:lastRenderedPageBreak/>
        <w:t>- от 2,5 до 7,0 кгс/кв.см</w:t>
      </w:r>
    </w:p>
    <w:p w:rsidR="00000000" w:rsidRDefault="000D23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3C1">
      <w:pPr>
        <w:pStyle w:val="left"/>
      </w:pPr>
      <w:r>
        <w:t>- от 7,0 до 13,0 кгс/кв.см</w:t>
      </w:r>
    </w:p>
    <w:p w:rsidR="00000000" w:rsidRDefault="000D23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3C1">
      <w:pPr>
        <w:pStyle w:val="left"/>
      </w:pPr>
      <w:r>
        <w:t>- свыше 13,0 кгс/кв.см</w:t>
      </w:r>
    </w:p>
    <w:p w:rsidR="00000000" w:rsidRDefault="000D23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3C1">
      <w:pPr>
        <w:pStyle w:val="left"/>
      </w:pPr>
      <w:r>
        <w:t>Острый и редуцированный</w:t>
      </w:r>
    </w:p>
    <w:p w:rsidR="00000000" w:rsidRDefault="000D23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3C1">
      <w:pPr>
        <w:pStyle w:val="left"/>
      </w:pPr>
      <w:r>
        <w:t>1.1.</w:t>
      </w:r>
    </w:p>
    <w:p w:rsidR="00000000" w:rsidRDefault="000D23C1">
      <w:pPr>
        <w:pStyle w:val="left"/>
      </w:pPr>
      <w:r>
        <w:t>В том числе</w:t>
      </w:r>
    </w:p>
    <w:p w:rsidR="00000000" w:rsidRDefault="000D23C1">
      <w:pPr>
        <w:pStyle w:val="left"/>
      </w:pPr>
      <w:r>
        <w:t>Бюджетные потребители</w:t>
      </w:r>
    </w:p>
    <w:p w:rsidR="00000000" w:rsidRDefault="000D23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3C1">
      <w:pPr>
        <w:pStyle w:val="left"/>
      </w:pPr>
      <w:r>
        <w:t>Горячая вода</w:t>
      </w:r>
    </w:p>
    <w:p w:rsidR="00000000" w:rsidRDefault="000D23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3C1">
      <w:pPr>
        <w:pStyle w:val="left"/>
      </w:pPr>
      <w:r>
        <w:t>Отборный пар</w:t>
      </w:r>
    </w:p>
    <w:p w:rsidR="00000000" w:rsidRDefault="000D23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3C1">
      <w:pPr>
        <w:pStyle w:val="left"/>
      </w:pPr>
      <w:r>
        <w:t>- от 1,2 до 2,5 кгс/кв.см</w:t>
      </w:r>
    </w:p>
    <w:p w:rsidR="00000000" w:rsidRDefault="000D23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3C1">
      <w:pPr>
        <w:pStyle w:val="left"/>
      </w:pPr>
      <w:r>
        <w:t>- от 2,5 до 7,0 кгс/кв.см</w:t>
      </w:r>
    </w:p>
    <w:p w:rsidR="00000000" w:rsidRDefault="000D23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3C1">
      <w:pPr>
        <w:pStyle w:val="left"/>
      </w:pPr>
      <w:r>
        <w:t>- от 7,0 до 13,0 кгс/кв.см</w:t>
      </w:r>
    </w:p>
    <w:p w:rsidR="00000000" w:rsidRDefault="000D23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3C1">
      <w:pPr>
        <w:pStyle w:val="left"/>
      </w:pPr>
      <w:r>
        <w:t>- свыше 13,0 кгс/кв.см</w:t>
      </w:r>
    </w:p>
    <w:p w:rsidR="00000000" w:rsidRDefault="000D23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3C1">
      <w:pPr>
        <w:pStyle w:val="left"/>
      </w:pPr>
      <w:r>
        <w:t>Острый и редуцированный</w:t>
      </w:r>
    </w:p>
    <w:p w:rsidR="00000000" w:rsidRDefault="000D23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3C1">
      <w:pPr>
        <w:pStyle w:val="just"/>
      </w:pPr>
      <w:r>
        <w:lastRenderedPageBreak/>
        <w:t>Примечание. Заполняется всего и отдельно по каждой СЦТ.</w:t>
      </w:r>
    </w:p>
    <w:p w:rsidR="00000000" w:rsidRDefault="000D23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3C1">
      <w:pPr>
        <w:pStyle w:val="right"/>
      </w:pPr>
      <w:r>
        <w:t>Источник - Приказ ФСТ России от 06.08.2004 № 20-э/2 (с изменениями и</w:t>
      </w:r>
      <w:r>
        <w:t xml:space="preserve"> дополнениями на 2014 год)</w:t>
      </w:r>
    </w:p>
    <w:p w:rsidR="00000000" w:rsidRDefault="000D23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орядокправа.рф/obrazecy/struktura_poleznogo_otpuska_teplovoj_energii_tablica_n_p18.htm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3C1"/>
    <w:rsid w:val="000D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0840D5-2CE6-45ED-83BB-4C9DC8FC0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uktura_poleznogo_otpuska_teplovoj_energii_tablica_n_p1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полезного отпуска тепловой энергии (таблица № П1.8)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2022-08-22T16:47:00Z</dcterms:created>
  <dcterms:modified xsi:type="dcterms:W3CDTF">2022-08-22T16:47:00Z</dcterms:modified>
</cp:coreProperties>
</file>