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2A0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в теплосетевое строительство (передача тепловой энергии) (таблица № П1.20.4)</w:t>
      </w:r>
    </w:p>
    <w:p w:rsidR="00000000" w:rsidRDefault="00AC62A0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AC6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2A0">
      <w:pPr>
        <w:pStyle w:val="right"/>
      </w:pPr>
      <w:r>
        <w:t>Таблица N П1.20.4</w:t>
      </w:r>
    </w:p>
    <w:p w:rsidR="00000000" w:rsidRDefault="00AC6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2A0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в теплосетевое строительство (</w:t>
      </w:r>
      <w:r>
        <w:rPr>
          <w:rFonts w:eastAsia="Times New Roman"/>
        </w:rPr>
        <w:t>передача тепловой энергии)</w:t>
      </w:r>
    </w:p>
    <w:p w:rsidR="00000000" w:rsidRDefault="00AC62A0">
      <w:pPr>
        <w:pStyle w:val="right"/>
      </w:pPr>
      <w:r>
        <w:t>тыс. руб.</w:t>
      </w:r>
    </w:p>
    <w:p w:rsidR="00000000" w:rsidRDefault="00AC62A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строек Утверждено на базовый период В течение базового периода Остаток финансирования План на период регулирования Источник финансирования Освоено фактически Профинансировано 1 2 3 4 5 6 7 Всего</w:t>
      </w:r>
    </w:p>
    <w:p w:rsidR="00000000" w:rsidRDefault="00AC62A0">
      <w:pPr>
        <w:pStyle w:val="3"/>
        <w:rPr>
          <w:rFonts w:eastAsia="Times New Roman"/>
        </w:rPr>
      </w:pPr>
      <w:r>
        <w:rPr>
          <w:rFonts w:eastAsia="Times New Roman"/>
        </w:rPr>
        <w:t>в т.ч.</w:t>
      </w:r>
    </w:p>
    <w:p w:rsidR="00000000" w:rsidRDefault="00AC62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62A0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AC6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https://порядокправа.рф/obrazecy/spravka_o_finansirovanii_i_osvoenii_kapitalnyx_vlozhenij_v_teplosetevoe_stroitelstvo_peredacha_tepl.htm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A0"/>
    <w:rsid w:val="00AC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6BC2C-C801-4586-AC3D-4A4A9BE3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v_teplosetevoe_stroitelstvo_peredacha_te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в теплосетевое строительство (передача тепловой энергии) (таблица № П1.20.4)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