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185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 в электросетевое строительство (передача электроэнергии) (таблица № П1.20.3)</w:t>
      </w:r>
    </w:p>
    <w:p w:rsidR="00000000" w:rsidRDefault="00037185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037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185">
      <w:pPr>
        <w:pStyle w:val="right"/>
      </w:pPr>
      <w:r>
        <w:t>Таблица N П1.20.3</w:t>
      </w:r>
    </w:p>
    <w:p w:rsidR="00000000" w:rsidRDefault="00037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185">
      <w:pPr>
        <w:pStyle w:val="3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 в электросетевое строительство</w:t>
      </w:r>
      <w:r>
        <w:rPr>
          <w:rFonts w:eastAsia="Times New Roman"/>
        </w:rPr>
        <w:t xml:space="preserve"> (передача электроэнергии)</w:t>
      </w:r>
    </w:p>
    <w:p w:rsidR="00000000" w:rsidRDefault="00037185">
      <w:pPr>
        <w:pStyle w:val="right"/>
      </w:pPr>
      <w:r>
        <w:t>тыс. руб.</w:t>
      </w:r>
    </w:p>
    <w:p w:rsidR="00000000" w:rsidRDefault="0003718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строек Утверждено на базовый период В течение базового периода Остаток финансирования План на период регулирования Источник финансирования Освоено фактически Профинансировано 1 2 3 4 5 6 7 Всего</w:t>
      </w:r>
    </w:p>
    <w:p w:rsidR="00000000" w:rsidRDefault="00037185">
      <w:pPr>
        <w:pStyle w:val="3"/>
        <w:rPr>
          <w:rFonts w:eastAsia="Times New Roman"/>
        </w:rPr>
      </w:pPr>
      <w:r>
        <w:rPr>
          <w:rFonts w:eastAsia="Times New Roman"/>
        </w:rPr>
        <w:t>в т.ч.</w:t>
      </w:r>
    </w:p>
    <w:p w:rsidR="00000000" w:rsidRDefault="0003718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37185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037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https://порядокправа.рф/obrazecy/spravka_o_finansirovanii_i_osvoenii_kapitalnyx_vlozhenij_v_elektrosetevoe_stroitelstvo_peredacha_el.htm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185"/>
    <w:rsid w:val="0003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02AAD8-DDC9-4FC9-88FB-7869F4FF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irovanii_i_osvoenii_kapitalnyx_vlozhenij_v_elektrosetevoe_stroitelstvo_peredacha_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финансировании и освоении капитальных вложений в электросетевое строительство (передача электроэнергии) (таблица № П1.20.3)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2022-08-22T10:16:00Z</dcterms:created>
  <dcterms:modified xsi:type="dcterms:W3CDTF">2022-08-22T10:16:00Z</dcterms:modified>
</cp:coreProperties>
</file>