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005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сводной ведомости обработки базовых линий</w:t>
      </w:r>
    </w:p>
    <w:p w:rsidR="00000000" w:rsidRDefault="003C4005">
      <w:pPr>
        <w:pStyle w:val="right"/>
      </w:pPr>
      <w:r>
        <w:t>Приложение N 7 к Методическим рекомендациям (п. 41)</w:t>
      </w:r>
    </w:p>
    <w:p w:rsidR="00000000" w:rsidRDefault="003C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005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СВОДНОЙ ВЕДОМОСТИ ОБРАБОТКИ БАЗОВЫХ ЛИНИЙ</w:t>
      </w:r>
    </w:p>
    <w:p w:rsidR="00000000" w:rsidRDefault="003C4005">
      <w:pPr>
        <w:pStyle w:val="HTML"/>
      </w:pPr>
      <w:r>
        <w:t>-------------------------------------------------------------------------------</w:t>
      </w:r>
    </w:p>
    <w:p w:rsidR="00000000" w:rsidRDefault="003C4005">
      <w:pPr>
        <w:pStyle w:val="HTML"/>
      </w:pPr>
      <w:r>
        <w:t>¦ N ¦Изме- ¦   Вид   ¦ДЕЛЬТА¦ДЕЛЬТА¦ДЕЛЬТА¦сигма ¦сигма ¦сигма ¦Характе-¦сигма¦</w:t>
      </w:r>
    </w:p>
    <w:p w:rsidR="00000000" w:rsidRDefault="003C4005">
      <w:pPr>
        <w:pStyle w:val="HTML"/>
      </w:pPr>
      <w:r>
        <w:t xml:space="preserve">¦п/п¦ряемая¦ решения ¦x  </w:t>
      </w:r>
      <w:r>
        <w:rPr>
          <w:vertAlign w:val="superscript"/>
        </w:rPr>
        <w:t>3</w:t>
      </w:r>
      <w:r>
        <w:t xml:space="preserve"> ,¦y  </w:t>
      </w:r>
      <w:r>
        <w:rPr>
          <w:vertAlign w:val="superscript"/>
        </w:rPr>
        <w:t>3</w:t>
      </w:r>
      <w:r>
        <w:t xml:space="preserve"> ,¦z  </w:t>
      </w:r>
      <w:r>
        <w:rPr>
          <w:vertAlign w:val="superscript"/>
        </w:rPr>
        <w:t>3</w:t>
      </w:r>
      <w:r>
        <w:t xml:space="preserve"> ,¦ДЕЛЬТА¦ДЕЛЬТА¦ДЕЛЬТА¦ристика ¦S  </w:t>
      </w:r>
      <w:r>
        <w:rPr>
          <w:vertAlign w:val="superscript"/>
        </w:rPr>
        <w:t>5</w:t>
      </w:r>
      <w:r>
        <w:t xml:space="preserve"> ¦</w:t>
      </w:r>
    </w:p>
    <w:p w:rsidR="00000000" w:rsidRDefault="003C4005">
      <w:pPr>
        <w:pStyle w:val="HTML"/>
      </w:pPr>
      <w:r>
        <w:t>¦   ¦линия ¦(FLT</w:t>
      </w:r>
      <w:r>
        <w:t xml:space="preserve">  </w:t>
      </w:r>
      <w:r>
        <w:rPr>
          <w:vertAlign w:val="superscript"/>
        </w:rPr>
        <w:t>1</w:t>
      </w:r>
      <w:r>
        <w:t xml:space="preserve"> ,¦  м   ¦  м   ¦  м   ¦x  </w:t>
      </w:r>
      <w:r>
        <w:rPr>
          <w:vertAlign w:val="superscript"/>
        </w:rPr>
        <w:t>4</w:t>
      </w:r>
      <w:r>
        <w:t xml:space="preserve"> ,¦y  </w:t>
      </w:r>
      <w:r>
        <w:rPr>
          <w:vertAlign w:val="superscript"/>
        </w:rPr>
        <w:t>4</w:t>
      </w:r>
      <w:r>
        <w:t xml:space="preserve"> ,¦z  </w:t>
      </w:r>
      <w:r>
        <w:rPr>
          <w:vertAlign w:val="superscript"/>
        </w:rPr>
        <w:t>4</w:t>
      </w:r>
      <w:r>
        <w:t xml:space="preserve"> ,¦качества¦     ¦</w:t>
      </w:r>
    </w:p>
    <w:p w:rsidR="00000000" w:rsidRDefault="003C4005">
      <w:pPr>
        <w:pStyle w:val="HTML"/>
      </w:pPr>
      <w:r>
        <w:t xml:space="preserve">¦   ¦      ¦FIX  </w:t>
      </w:r>
      <w:r>
        <w:rPr>
          <w:vertAlign w:val="superscript"/>
        </w:rPr>
        <w:t>2</w:t>
      </w:r>
      <w:r>
        <w:t xml:space="preserve">  и¦      ¦      ¦      ¦  м   ¦  м   ¦  м   ¦решения ¦     ¦</w:t>
      </w:r>
    </w:p>
    <w:p w:rsidR="00000000" w:rsidRDefault="003C4005">
      <w:pPr>
        <w:pStyle w:val="HTML"/>
      </w:pPr>
      <w:r>
        <w:t>¦   ¦      ¦ другие) ¦      ¦      ¦      ¦      ¦      ¦      ¦        ¦     ¦</w:t>
      </w:r>
    </w:p>
    <w:p w:rsidR="00000000" w:rsidRDefault="003C4005">
      <w:pPr>
        <w:pStyle w:val="HTML"/>
      </w:pPr>
      <w:r>
        <w:t>+---+------+---------+------+---</w:t>
      </w:r>
      <w:r>
        <w:t>---+------+------+------+------+--------+-----+</w:t>
      </w:r>
    </w:p>
    <w:p w:rsidR="00000000" w:rsidRDefault="003C4005">
      <w:pPr>
        <w:pStyle w:val="HTML"/>
      </w:pPr>
      <w:r>
        <w:t>¦ 1 ¦  2   ¦    3    ¦  4   ¦  5   ¦  6   ¦  7   ¦  8   ¦  9   ¦   10   ¦ 11  ¦</w:t>
      </w:r>
    </w:p>
    <w:p w:rsidR="00000000" w:rsidRDefault="003C4005">
      <w:pPr>
        <w:pStyle w:val="HTML"/>
      </w:pPr>
      <w:r>
        <w:t>+---+------+---------+------+------+------+------+------+------+--------+-----+</w:t>
      </w:r>
    </w:p>
    <w:p w:rsidR="00000000" w:rsidRDefault="003C4005">
      <w:pPr>
        <w:pStyle w:val="HTML"/>
      </w:pPr>
      <w:r>
        <w:t>+---+------+---------+------+------+------+-----</w:t>
      </w:r>
      <w:r>
        <w:t>-+------+------+--------+-----+</w:t>
      </w:r>
    </w:p>
    <w:p w:rsidR="00000000" w:rsidRDefault="003C4005">
      <w:pPr>
        <w:pStyle w:val="HTML"/>
      </w:pPr>
      <w:r>
        <w:t>----+------+---------+------+------+------+------+------+------+--------+------</w:t>
      </w:r>
    </w:p>
    <w:p w:rsidR="00000000" w:rsidRDefault="003C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005">
      <w:pPr>
        <w:pStyle w:val="sel"/>
        <w:divId w:val="1679582429"/>
      </w:pPr>
      <w:r>
        <w:t>1 FLT - решение по двойным разностям в плавающем режиме.</w:t>
      </w:r>
    </w:p>
    <w:p w:rsidR="00000000" w:rsidRDefault="003C4005">
      <w:pPr>
        <w:pStyle w:val="sel"/>
        <w:divId w:val="1679582429"/>
      </w:pPr>
      <w:r>
        <w:t>2 FIX - решение по двойным разностям, но со смещением неоднозначностей к фиксированным</w:t>
      </w:r>
      <w:r>
        <w:t xml:space="preserve"> значениям.</w:t>
      </w:r>
    </w:p>
    <w:p w:rsidR="00000000" w:rsidRDefault="003C4005">
      <w:pPr>
        <w:pStyle w:val="sel"/>
        <w:divId w:val="1679582429"/>
      </w:pPr>
      <w:r>
        <w:t>3 ДЕЛЬТА x, ДЕЛЬТА y, ДЕЛЬТА z - приращение прямоугольных пространственных координат.</w:t>
      </w:r>
    </w:p>
    <w:p w:rsidR="00000000" w:rsidRDefault="003C4005">
      <w:pPr>
        <w:pStyle w:val="sel"/>
        <w:divId w:val="1679582429"/>
      </w:pPr>
      <w:r>
        <w:t>4 сигма ДЕЛЬТА x, сигма ДЕЛЬТА y, сигма ДЕЛЬТА z - среднеквадратические ошибки определения приращений координат.</w:t>
      </w:r>
    </w:p>
    <w:p w:rsidR="00000000" w:rsidRDefault="003C4005">
      <w:pPr>
        <w:pStyle w:val="sel"/>
        <w:divId w:val="1679582429"/>
      </w:pPr>
      <w:r>
        <w:t>5 сигма S - среднеквадратическая ошибка опред</w:t>
      </w:r>
      <w:r>
        <w:t>еления длины базовой линии.</w:t>
      </w:r>
    </w:p>
    <w:p w:rsidR="00000000" w:rsidRDefault="003C4005">
      <w:pPr>
        <w:pStyle w:val="right"/>
      </w:pPr>
      <w:r>
        <w:t>Источник - Распоряжение Минтранса России от 10.01.2012 № ИЛ-1-р</w:t>
      </w:r>
    </w:p>
    <w:p w:rsidR="00000000" w:rsidRDefault="003C4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https://порядокправа.рф/obrazecy/rekomenduemaya_forma_svodnoj_vedomosti_obrabotki_bazovyx_linij.htm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05"/>
    <w:rsid w:val="003C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C57DB-D803-4F31-BD62-DB7EFE8A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58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svodnoj_vedomosti_obrabotki_bazovyx_li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сводной ведомости обработки базовых линий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2022-08-20T08:18:00Z</dcterms:created>
  <dcterms:modified xsi:type="dcterms:W3CDTF">2022-08-20T08:18:00Z</dcterms:modified>
</cp:coreProperties>
</file>