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6637D">
      <w:pPr>
        <w:pStyle w:val="1"/>
        <w:rPr>
          <w:rFonts w:eastAsia="Times New Roman"/>
        </w:rPr>
      </w:pPr>
      <w:r>
        <w:rPr>
          <w:rFonts w:eastAsia="Times New Roman"/>
        </w:rPr>
        <w:t xml:space="preserve">Расчет стандартизированной тарифной ставки на покрытие расходов ГРО, связанных со </w:t>
      </w:r>
      <w:r>
        <w:rPr>
          <w:rFonts w:eastAsia="Times New Roman"/>
        </w:rPr>
        <w:t>строительством (реконструкцией) газопроводов,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150 метров и менее</w:t>
      </w:r>
    </w:p>
    <w:p w:rsidR="00000000" w:rsidRDefault="0066637D">
      <w:pPr>
        <w:pStyle w:val="right"/>
      </w:pPr>
      <w:r>
        <w:t>Прило</w:t>
      </w:r>
      <w:r>
        <w:t xml:space="preserve">жение 4 к Методическим указаниям, утвержденным приказом ФСТ России от 28 апреля 2014 г. N 101-э/3 </w:t>
      </w:r>
    </w:p>
    <w:p w:rsidR="00000000" w:rsidRDefault="0066637D">
      <w:pPr>
        <w:pStyle w:val="3"/>
        <w:rPr>
          <w:rFonts w:eastAsia="Times New Roman"/>
        </w:rPr>
      </w:pPr>
      <w:r>
        <w:rPr>
          <w:rFonts w:eastAsia="Times New Roman"/>
        </w:rPr>
        <w:t>Расчет стандартизированной тарифной ставки на покрытие расходов ГРО, связанных со строительством (реконструкцией) газопроводов, для случаев, когда протяженно</w:t>
      </w:r>
      <w:r>
        <w:rPr>
          <w:rFonts w:eastAsia="Times New Roman"/>
        </w:rPr>
        <w:t>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150 метров и менее</w:t>
      </w:r>
    </w:p>
    <w:p w:rsidR="00000000" w:rsidRDefault="0066637D">
      <w:pPr>
        <w:pStyle w:val="3"/>
        <w:rPr>
          <w:rFonts w:eastAsia="Times New Roman"/>
        </w:rPr>
      </w:pPr>
      <w:r>
        <w:rPr>
          <w:rFonts w:eastAsia="Times New Roman"/>
        </w:rPr>
        <w:t>N п/п Показатели Расходы, связанные со строительством (реконструкцией) газопрово</w:t>
      </w:r>
      <w:r>
        <w:rPr>
          <w:rFonts w:eastAsia="Times New Roman"/>
        </w:rPr>
        <w:t>дов средней протяженностью в диапазоне до 150 м, тыс. руб. Количество случаев строительства (реконструкции) сетей газораспределения средней протяженностью в диапазоне до 150 м, шт. Суммарные расходы, связанные со строительством (реконструкцией) газопроводо</w:t>
      </w:r>
      <w:r>
        <w:rPr>
          <w:rFonts w:eastAsia="Times New Roman"/>
        </w:rPr>
        <w:t>в средней протяженностью в диапазоне до 150 м, тыс. руб. (ст. 3 x ст. 4) 1 2 3 4 5 1</w:t>
      </w:r>
    </w:p>
    <w:p w:rsidR="00000000" w:rsidRDefault="0066637D">
      <w:pPr>
        <w:pStyle w:val="left"/>
      </w:pPr>
      <w:r>
        <w:t>Стальные газопроводы, всего</w:t>
      </w:r>
    </w:p>
    <w:p w:rsidR="00000000" w:rsidRDefault="0066637D">
      <w:pPr>
        <w:spacing w:after="240"/>
        <w:rPr>
          <w:rFonts w:ascii="Times New Roman" w:eastAsia="Times New Roman" w:hAnsi="Times New Roman"/>
          <w:sz w:val="24"/>
          <w:szCs w:val="24"/>
        </w:rPr>
      </w:pPr>
    </w:p>
    <w:p w:rsidR="00000000" w:rsidRDefault="0066637D">
      <w:pPr>
        <w:pStyle w:val="3"/>
        <w:rPr>
          <w:rFonts w:eastAsia="Times New Roman"/>
        </w:rPr>
      </w:pPr>
      <w:r>
        <w:rPr>
          <w:rFonts w:eastAsia="Times New Roman"/>
        </w:rPr>
        <w:t>1.1</w:t>
      </w:r>
    </w:p>
    <w:p w:rsidR="00000000" w:rsidRDefault="0066637D">
      <w:pPr>
        <w:pStyle w:val="left"/>
      </w:pPr>
      <w:r>
        <w:t>Наземная (надземная) прокладка, в том числе</w:t>
      </w:r>
    </w:p>
    <w:p w:rsidR="00000000" w:rsidRDefault="0066637D">
      <w:pPr>
        <w:spacing w:after="240"/>
        <w:rPr>
          <w:rFonts w:ascii="Times New Roman" w:eastAsia="Times New Roman" w:hAnsi="Times New Roman"/>
          <w:sz w:val="24"/>
          <w:szCs w:val="24"/>
        </w:rPr>
      </w:pPr>
    </w:p>
    <w:p w:rsidR="00000000" w:rsidRDefault="0066637D">
      <w:pPr>
        <w:pStyle w:val="3"/>
        <w:rPr>
          <w:rFonts w:eastAsia="Times New Roman"/>
        </w:rPr>
      </w:pPr>
      <w:r>
        <w:rPr>
          <w:rFonts w:eastAsia="Times New Roman"/>
        </w:rPr>
        <w:t>1.1.1</w:t>
      </w:r>
    </w:p>
    <w:p w:rsidR="00000000" w:rsidRDefault="0066637D">
      <w:pPr>
        <w:pStyle w:val="left"/>
      </w:pPr>
      <w:r>
        <w:lastRenderedPageBreak/>
        <w:t>158 мм и менее</w:t>
      </w:r>
    </w:p>
    <w:p w:rsidR="00000000" w:rsidRDefault="0066637D">
      <w:pPr>
        <w:spacing w:after="240"/>
        <w:rPr>
          <w:rFonts w:ascii="Times New Roman" w:eastAsia="Times New Roman" w:hAnsi="Times New Roman"/>
          <w:sz w:val="24"/>
          <w:szCs w:val="24"/>
        </w:rPr>
      </w:pPr>
    </w:p>
    <w:p w:rsidR="00000000" w:rsidRDefault="0066637D">
      <w:pPr>
        <w:pStyle w:val="3"/>
        <w:rPr>
          <w:rFonts w:eastAsia="Times New Roman"/>
        </w:rPr>
      </w:pPr>
      <w:r>
        <w:rPr>
          <w:rFonts w:eastAsia="Times New Roman"/>
        </w:rPr>
        <w:t>1.1.2</w:t>
      </w:r>
    </w:p>
    <w:p w:rsidR="00000000" w:rsidRDefault="0066637D">
      <w:pPr>
        <w:pStyle w:val="left"/>
      </w:pPr>
      <w:r>
        <w:t>159 - 218 мм</w:t>
      </w:r>
    </w:p>
    <w:p w:rsidR="00000000" w:rsidRDefault="0066637D">
      <w:pPr>
        <w:spacing w:after="240"/>
        <w:rPr>
          <w:rFonts w:ascii="Times New Roman" w:eastAsia="Times New Roman" w:hAnsi="Times New Roman"/>
          <w:sz w:val="24"/>
          <w:szCs w:val="24"/>
        </w:rPr>
      </w:pPr>
    </w:p>
    <w:p w:rsidR="00000000" w:rsidRDefault="0066637D">
      <w:pPr>
        <w:pStyle w:val="3"/>
        <w:rPr>
          <w:rFonts w:eastAsia="Times New Roman"/>
        </w:rPr>
      </w:pPr>
      <w:r>
        <w:rPr>
          <w:rFonts w:eastAsia="Times New Roman"/>
        </w:rPr>
        <w:t>1.1.3</w:t>
      </w:r>
    </w:p>
    <w:p w:rsidR="00000000" w:rsidRDefault="0066637D">
      <w:pPr>
        <w:pStyle w:val="left"/>
      </w:pPr>
      <w:r>
        <w:t>219 - 272 мм</w:t>
      </w:r>
    </w:p>
    <w:p w:rsidR="00000000" w:rsidRDefault="0066637D">
      <w:pPr>
        <w:spacing w:after="240"/>
        <w:rPr>
          <w:rFonts w:ascii="Times New Roman" w:eastAsia="Times New Roman" w:hAnsi="Times New Roman"/>
          <w:sz w:val="24"/>
          <w:szCs w:val="24"/>
        </w:rPr>
      </w:pPr>
    </w:p>
    <w:p w:rsidR="00000000" w:rsidRDefault="0066637D">
      <w:pPr>
        <w:pStyle w:val="3"/>
        <w:rPr>
          <w:rFonts w:eastAsia="Times New Roman"/>
        </w:rPr>
      </w:pPr>
      <w:r>
        <w:rPr>
          <w:rFonts w:eastAsia="Times New Roman"/>
        </w:rPr>
        <w:t>1.1.4</w:t>
      </w:r>
    </w:p>
    <w:p w:rsidR="00000000" w:rsidRDefault="0066637D">
      <w:pPr>
        <w:pStyle w:val="left"/>
      </w:pPr>
      <w:r>
        <w:t>273 - 324 мм</w:t>
      </w:r>
    </w:p>
    <w:p w:rsidR="00000000" w:rsidRDefault="0066637D">
      <w:pPr>
        <w:spacing w:after="240"/>
        <w:rPr>
          <w:rFonts w:ascii="Times New Roman" w:eastAsia="Times New Roman" w:hAnsi="Times New Roman"/>
          <w:sz w:val="24"/>
          <w:szCs w:val="24"/>
        </w:rPr>
      </w:pPr>
    </w:p>
    <w:p w:rsidR="00000000" w:rsidRDefault="0066637D">
      <w:pPr>
        <w:pStyle w:val="3"/>
        <w:rPr>
          <w:rFonts w:eastAsia="Times New Roman"/>
        </w:rPr>
      </w:pPr>
      <w:r>
        <w:rPr>
          <w:rFonts w:eastAsia="Times New Roman"/>
        </w:rPr>
        <w:t>1.1.5</w:t>
      </w:r>
    </w:p>
    <w:p w:rsidR="00000000" w:rsidRDefault="0066637D">
      <w:pPr>
        <w:pStyle w:val="left"/>
      </w:pPr>
      <w:r>
        <w:t>325 -</w:t>
      </w:r>
      <w:r>
        <w:t xml:space="preserve"> 425 мм</w:t>
      </w:r>
    </w:p>
    <w:p w:rsidR="00000000" w:rsidRDefault="0066637D">
      <w:pPr>
        <w:spacing w:after="240"/>
        <w:rPr>
          <w:rFonts w:ascii="Times New Roman" w:eastAsia="Times New Roman" w:hAnsi="Times New Roman"/>
          <w:sz w:val="24"/>
          <w:szCs w:val="24"/>
        </w:rPr>
      </w:pPr>
    </w:p>
    <w:p w:rsidR="00000000" w:rsidRDefault="0066637D">
      <w:pPr>
        <w:pStyle w:val="3"/>
        <w:rPr>
          <w:rFonts w:eastAsia="Times New Roman"/>
        </w:rPr>
      </w:pPr>
      <w:r>
        <w:rPr>
          <w:rFonts w:eastAsia="Times New Roman"/>
        </w:rPr>
        <w:t>1.1.6</w:t>
      </w:r>
    </w:p>
    <w:p w:rsidR="00000000" w:rsidRDefault="0066637D">
      <w:pPr>
        <w:pStyle w:val="left"/>
      </w:pPr>
      <w:r>
        <w:t>426 - 529 мм</w:t>
      </w:r>
    </w:p>
    <w:p w:rsidR="00000000" w:rsidRDefault="0066637D">
      <w:pPr>
        <w:spacing w:after="240"/>
        <w:rPr>
          <w:rFonts w:ascii="Times New Roman" w:eastAsia="Times New Roman" w:hAnsi="Times New Roman"/>
          <w:sz w:val="24"/>
          <w:szCs w:val="24"/>
        </w:rPr>
      </w:pPr>
    </w:p>
    <w:p w:rsidR="00000000" w:rsidRDefault="0066637D">
      <w:pPr>
        <w:pStyle w:val="3"/>
        <w:rPr>
          <w:rFonts w:eastAsia="Times New Roman"/>
        </w:rPr>
      </w:pPr>
      <w:r>
        <w:rPr>
          <w:rFonts w:eastAsia="Times New Roman"/>
        </w:rPr>
        <w:t>1.1.7</w:t>
      </w:r>
    </w:p>
    <w:p w:rsidR="00000000" w:rsidRDefault="0066637D">
      <w:pPr>
        <w:pStyle w:val="left"/>
      </w:pPr>
      <w:r>
        <w:t>530 мм и выше</w:t>
      </w:r>
    </w:p>
    <w:p w:rsidR="00000000" w:rsidRDefault="0066637D">
      <w:pPr>
        <w:spacing w:after="240"/>
        <w:rPr>
          <w:rFonts w:ascii="Times New Roman" w:eastAsia="Times New Roman" w:hAnsi="Times New Roman"/>
          <w:sz w:val="24"/>
          <w:szCs w:val="24"/>
        </w:rPr>
      </w:pPr>
    </w:p>
    <w:p w:rsidR="00000000" w:rsidRDefault="0066637D">
      <w:pPr>
        <w:pStyle w:val="3"/>
        <w:rPr>
          <w:rFonts w:eastAsia="Times New Roman"/>
        </w:rPr>
      </w:pPr>
      <w:r>
        <w:rPr>
          <w:rFonts w:eastAsia="Times New Roman"/>
        </w:rPr>
        <w:t>1.2</w:t>
      </w:r>
    </w:p>
    <w:p w:rsidR="00000000" w:rsidRDefault="0066637D">
      <w:pPr>
        <w:pStyle w:val="left"/>
      </w:pPr>
      <w:r>
        <w:t>Подземная прокладка, в том числе</w:t>
      </w:r>
    </w:p>
    <w:p w:rsidR="00000000" w:rsidRDefault="0066637D">
      <w:pPr>
        <w:spacing w:after="240"/>
        <w:rPr>
          <w:rFonts w:ascii="Times New Roman" w:eastAsia="Times New Roman" w:hAnsi="Times New Roman"/>
          <w:sz w:val="24"/>
          <w:szCs w:val="24"/>
        </w:rPr>
      </w:pPr>
    </w:p>
    <w:p w:rsidR="00000000" w:rsidRDefault="0066637D">
      <w:pPr>
        <w:pStyle w:val="3"/>
        <w:rPr>
          <w:rFonts w:eastAsia="Times New Roman"/>
        </w:rPr>
      </w:pPr>
      <w:r>
        <w:rPr>
          <w:rFonts w:eastAsia="Times New Roman"/>
        </w:rPr>
        <w:t>1.2.1</w:t>
      </w:r>
    </w:p>
    <w:p w:rsidR="00000000" w:rsidRDefault="0066637D">
      <w:pPr>
        <w:pStyle w:val="left"/>
      </w:pPr>
      <w:r>
        <w:t>158 мм и менее</w:t>
      </w:r>
    </w:p>
    <w:p w:rsidR="00000000" w:rsidRDefault="0066637D">
      <w:pPr>
        <w:spacing w:after="240"/>
        <w:rPr>
          <w:rFonts w:ascii="Times New Roman" w:eastAsia="Times New Roman" w:hAnsi="Times New Roman"/>
          <w:sz w:val="24"/>
          <w:szCs w:val="24"/>
        </w:rPr>
      </w:pPr>
    </w:p>
    <w:p w:rsidR="00000000" w:rsidRDefault="0066637D">
      <w:pPr>
        <w:pStyle w:val="3"/>
        <w:rPr>
          <w:rFonts w:eastAsia="Times New Roman"/>
        </w:rPr>
      </w:pPr>
      <w:r>
        <w:rPr>
          <w:rFonts w:eastAsia="Times New Roman"/>
        </w:rPr>
        <w:t>1.2.2</w:t>
      </w:r>
    </w:p>
    <w:p w:rsidR="00000000" w:rsidRDefault="0066637D">
      <w:pPr>
        <w:pStyle w:val="left"/>
      </w:pPr>
      <w:r>
        <w:t>159 - 218 мм</w:t>
      </w:r>
    </w:p>
    <w:p w:rsidR="00000000" w:rsidRDefault="0066637D">
      <w:pPr>
        <w:spacing w:after="240"/>
        <w:rPr>
          <w:rFonts w:ascii="Times New Roman" w:eastAsia="Times New Roman" w:hAnsi="Times New Roman"/>
          <w:sz w:val="24"/>
          <w:szCs w:val="24"/>
        </w:rPr>
      </w:pPr>
    </w:p>
    <w:p w:rsidR="00000000" w:rsidRDefault="0066637D">
      <w:pPr>
        <w:pStyle w:val="3"/>
        <w:rPr>
          <w:rFonts w:eastAsia="Times New Roman"/>
        </w:rPr>
      </w:pPr>
      <w:r>
        <w:rPr>
          <w:rFonts w:eastAsia="Times New Roman"/>
        </w:rPr>
        <w:t>1.2.3</w:t>
      </w:r>
    </w:p>
    <w:p w:rsidR="00000000" w:rsidRDefault="0066637D">
      <w:pPr>
        <w:pStyle w:val="left"/>
      </w:pPr>
      <w:r>
        <w:t>219 - 272 мм</w:t>
      </w:r>
    </w:p>
    <w:p w:rsidR="00000000" w:rsidRDefault="0066637D">
      <w:pPr>
        <w:spacing w:after="240"/>
        <w:rPr>
          <w:rFonts w:ascii="Times New Roman" w:eastAsia="Times New Roman" w:hAnsi="Times New Roman"/>
          <w:sz w:val="24"/>
          <w:szCs w:val="24"/>
        </w:rPr>
      </w:pPr>
    </w:p>
    <w:p w:rsidR="00000000" w:rsidRDefault="0066637D">
      <w:pPr>
        <w:pStyle w:val="3"/>
        <w:rPr>
          <w:rFonts w:eastAsia="Times New Roman"/>
        </w:rPr>
      </w:pPr>
      <w:r>
        <w:rPr>
          <w:rFonts w:eastAsia="Times New Roman"/>
        </w:rPr>
        <w:t>1.2.4</w:t>
      </w:r>
    </w:p>
    <w:p w:rsidR="00000000" w:rsidRDefault="0066637D">
      <w:pPr>
        <w:pStyle w:val="left"/>
      </w:pPr>
      <w:r>
        <w:t>273 - 324 мм</w:t>
      </w:r>
    </w:p>
    <w:p w:rsidR="00000000" w:rsidRDefault="0066637D">
      <w:pPr>
        <w:spacing w:after="240"/>
        <w:rPr>
          <w:rFonts w:ascii="Times New Roman" w:eastAsia="Times New Roman" w:hAnsi="Times New Roman"/>
          <w:sz w:val="24"/>
          <w:szCs w:val="24"/>
        </w:rPr>
      </w:pPr>
    </w:p>
    <w:p w:rsidR="00000000" w:rsidRDefault="0066637D">
      <w:pPr>
        <w:pStyle w:val="3"/>
        <w:rPr>
          <w:rFonts w:eastAsia="Times New Roman"/>
        </w:rPr>
      </w:pPr>
      <w:r>
        <w:rPr>
          <w:rFonts w:eastAsia="Times New Roman"/>
        </w:rPr>
        <w:t>1.2.5</w:t>
      </w:r>
    </w:p>
    <w:p w:rsidR="00000000" w:rsidRDefault="0066637D">
      <w:pPr>
        <w:pStyle w:val="left"/>
      </w:pPr>
      <w:r>
        <w:t>325 - 425 мм</w:t>
      </w:r>
    </w:p>
    <w:p w:rsidR="00000000" w:rsidRDefault="0066637D">
      <w:pPr>
        <w:spacing w:after="240"/>
        <w:rPr>
          <w:rFonts w:ascii="Times New Roman" w:eastAsia="Times New Roman" w:hAnsi="Times New Roman"/>
          <w:sz w:val="24"/>
          <w:szCs w:val="24"/>
        </w:rPr>
      </w:pPr>
    </w:p>
    <w:p w:rsidR="00000000" w:rsidRDefault="0066637D">
      <w:pPr>
        <w:pStyle w:val="3"/>
        <w:rPr>
          <w:rFonts w:eastAsia="Times New Roman"/>
        </w:rPr>
      </w:pPr>
      <w:r>
        <w:rPr>
          <w:rFonts w:eastAsia="Times New Roman"/>
        </w:rPr>
        <w:t>1.2.6</w:t>
      </w:r>
    </w:p>
    <w:p w:rsidR="00000000" w:rsidRDefault="0066637D">
      <w:pPr>
        <w:pStyle w:val="left"/>
      </w:pPr>
      <w:r>
        <w:t>426 - 529 мм</w:t>
      </w:r>
    </w:p>
    <w:p w:rsidR="00000000" w:rsidRDefault="0066637D">
      <w:pPr>
        <w:spacing w:after="240"/>
        <w:rPr>
          <w:rFonts w:ascii="Times New Roman" w:eastAsia="Times New Roman" w:hAnsi="Times New Roman"/>
          <w:sz w:val="24"/>
          <w:szCs w:val="24"/>
        </w:rPr>
      </w:pPr>
    </w:p>
    <w:p w:rsidR="00000000" w:rsidRDefault="0066637D">
      <w:pPr>
        <w:pStyle w:val="3"/>
        <w:rPr>
          <w:rFonts w:eastAsia="Times New Roman"/>
        </w:rPr>
      </w:pPr>
      <w:r>
        <w:rPr>
          <w:rFonts w:eastAsia="Times New Roman"/>
        </w:rPr>
        <w:t>1.2.7</w:t>
      </w:r>
    </w:p>
    <w:p w:rsidR="00000000" w:rsidRDefault="0066637D">
      <w:pPr>
        <w:pStyle w:val="left"/>
      </w:pPr>
      <w:r>
        <w:t>530 мм и выше</w:t>
      </w:r>
    </w:p>
    <w:p w:rsidR="00000000" w:rsidRDefault="0066637D">
      <w:pPr>
        <w:spacing w:after="240"/>
        <w:rPr>
          <w:rFonts w:ascii="Times New Roman" w:eastAsia="Times New Roman" w:hAnsi="Times New Roman"/>
          <w:sz w:val="24"/>
          <w:szCs w:val="24"/>
        </w:rPr>
      </w:pPr>
    </w:p>
    <w:p w:rsidR="00000000" w:rsidRDefault="0066637D">
      <w:pPr>
        <w:pStyle w:val="3"/>
        <w:rPr>
          <w:rFonts w:eastAsia="Times New Roman"/>
        </w:rPr>
      </w:pPr>
      <w:r>
        <w:rPr>
          <w:rFonts w:eastAsia="Times New Roman"/>
        </w:rPr>
        <w:t>2</w:t>
      </w:r>
    </w:p>
    <w:p w:rsidR="00000000" w:rsidRDefault="0066637D">
      <w:pPr>
        <w:pStyle w:val="left"/>
      </w:pPr>
      <w:r>
        <w:t>Полиэтиленовые газопроводы, в том числе</w:t>
      </w:r>
    </w:p>
    <w:p w:rsidR="00000000" w:rsidRDefault="0066637D">
      <w:pPr>
        <w:spacing w:after="240"/>
        <w:rPr>
          <w:rFonts w:ascii="Times New Roman" w:eastAsia="Times New Roman" w:hAnsi="Times New Roman"/>
          <w:sz w:val="24"/>
          <w:szCs w:val="24"/>
        </w:rPr>
      </w:pPr>
    </w:p>
    <w:p w:rsidR="00000000" w:rsidRDefault="0066637D">
      <w:pPr>
        <w:pStyle w:val="3"/>
        <w:rPr>
          <w:rFonts w:eastAsia="Times New Roman"/>
        </w:rPr>
      </w:pPr>
      <w:r>
        <w:rPr>
          <w:rFonts w:eastAsia="Times New Roman"/>
        </w:rPr>
        <w:t>2.1</w:t>
      </w:r>
    </w:p>
    <w:p w:rsidR="00000000" w:rsidRDefault="0066637D">
      <w:pPr>
        <w:pStyle w:val="left"/>
      </w:pPr>
      <w:r>
        <w:t>109 мм и менее</w:t>
      </w:r>
    </w:p>
    <w:p w:rsidR="00000000" w:rsidRDefault="0066637D">
      <w:pPr>
        <w:spacing w:after="240"/>
        <w:rPr>
          <w:rFonts w:ascii="Times New Roman" w:eastAsia="Times New Roman" w:hAnsi="Times New Roman"/>
          <w:sz w:val="24"/>
          <w:szCs w:val="24"/>
        </w:rPr>
      </w:pPr>
    </w:p>
    <w:p w:rsidR="00000000" w:rsidRDefault="0066637D">
      <w:pPr>
        <w:pStyle w:val="3"/>
        <w:rPr>
          <w:rFonts w:eastAsia="Times New Roman"/>
        </w:rPr>
      </w:pPr>
      <w:r>
        <w:rPr>
          <w:rFonts w:eastAsia="Times New Roman"/>
        </w:rPr>
        <w:t>2.2</w:t>
      </w:r>
    </w:p>
    <w:p w:rsidR="00000000" w:rsidRDefault="0066637D">
      <w:pPr>
        <w:pStyle w:val="left"/>
      </w:pPr>
      <w:r>
        <w:t>110 - 159 мм</w:t>
      </w:r>
    </w:p>
    <w:p w:rsidR="00000000" w:rsidRDefault="0066637D">
      <w:pPr>
        <w:spacing w:after="240"/>
        <w:rPr>
          <w:rFonts w:ascii="Times New Roman" w:eastAsia="Times New Roman" w:hAnsi="Times New Roman"/>
          <w:sz w:val="24"/>
          <w:szCs w:val="24"/>
        </w:rPr>
      </w:pPr>
    </w:p>
    <w:p w:rsidR="00000000" w:rsidRDefault="0066637D">
      <w:pPr>
        <w:pStyle w:val="3"/>
        <w:rPr>
          <w:rFonts w:eastAsia="Times New Roman"/>
        </w:rPr>
      </w:pPr>
      <w:r>
        <w:rPr>
          <w:rFonts w:eastAsia="Times New Roman"/>
        </w:rPr>
        <w:t>2.3</w:t>
      </w:r>
    </w:p>
    <w:p w:rsidR="00000000" w:rsidRDefault="0066637D">
      <w:pPr>
        <w:pStyle w:val="left"/>
      </w:pPr>
      <w:r>
        <w:t>160 - 224 мм</w:t>
      </w:r>
    </w:p>
    <w:p w:rsidR="00000000" w:rsidRDefault="0066637D">
      <w:pPr>
        <w:spacing w:after="240"/>
        <w:rPr>
          <w:rFonts w:ascii="Times New Roman" w:eastAsia="Times New Roman" w:hAnsi="Times New Roman"/>
          <w:sz w:val="24"/>
          <w:szCs w:val="24"/>
        </w:rPr>
      </w:pPr>
    </w:p>
    <w:p w:rsidR="00000000" w:rsidRDefault="0066637D">
      <w:pPr>
        <w:pStyle w:val="3"/>
        <w:rPr>
          <w:rFonts w:eastAsia="Times New Roman"/>
        </w:rPr>
      </w:pPr>
      <w:r>
        <w:rPr>
          <w:rFonts w:eastAsia="Times New Roman"/>
        </w:rPr>
        <w:t>2.4</w:t>
      </w:r>
    </w:p>
    <w:p w:rsidR="00000000" w:rsidRDefault="0066637D">
      <w:pPr>
        <w:pStyle w:val="left"/>
      </w:pPr>
      <w:r>
        <w:t>225 - 314 мм</w:t>
      </w:r>
    </w:p>
    <w:p w:rsidR="00000000" w:rsidRDefault="0066637D">
      <w:pPr>
        <w:spacing w:after="240"/>
        <w:rPr>
          <w:rFonts w:ascii="Times New Roman" w:eastAsia="Times New Roman" w:hAnsi="Times New Roman"/>
          <w:sz w:val="24"/>
          <w:szCs w:val="24"/>
        </w:rPr>
      </w:pPr>
    </w:p>
    <w:p w:rsidR="00000000" w:rsidRDefault="0066637D">
      <w:pPr>
        <w:pStyle w:val="3"/>
        <w:rPr>
          <w:rFonts w:eastAsia="Times New Roman"/>
        </w:rPr>
      </w:pPr>
      <w:r>
        <w:rPr>
          <w:rFonts w:eastAsia="Times New Roman"/>
        </w:rPr>
        <w:t>2.5</w:t>
      </w:r>
    </w:p>
    <w:p w:rsidR="00000000" w:rsidRDefault="0066637D">
      <w:pPr>
        <w:pStyle w:val="left"/>
      </w:pPr>
      <w:r>
        <w:t>315 - 399 мм</w:t>
      </w:r>
    </w:p>
    <w:p w:rsidR="00000000" w:rsidRDefault="0066637D">
      <w:pPr>
        <w:spacing w:after="240"/>
        <w:rPr>
          <w:rFonts w:ascii="Times New Roman" w:eastAsia="Times New Roman" w:hAnsi="Times New Roman"/>
          <w:sz w:val="24"/>
          <w:szCs w:val="24"/>
        </w:rPr>
      </w:pPr>
    </w:p>
    <w:p w:rsidR="00000000" w:rsidRDefault="0066637D">
      <w:pPr>
        <w:pStyle w:val="3"/>
        <w:rPr>
          <w:rFonts w:eastAsia="Times New Roman"/>
        </w:rPr>
      </w:pPr>
      <w:r>
        <w:rPr>
          <w:rFonts w:eastAsia="Times New Roman"/>
        </w:rPr>
        <w:t>2.6</w:t>
      </w:r>
    </w:p>
    <w:p w:rsidR="00000000" w:rsidRDefault="0066637D">
      <w:pPr>
        <w:pStyle w:val="left"/>
      </w:pPr>
      <w:r>
        <w:t>400 мм и выше</w:t>
      </w:r>
    </w:p>
    <w:p w:rsidR="00000000" w:rsidRDefault="0066637D">
      <w:pPr>
        <w:spacing w:after="240"/>
        <w:rPr>
          <w:rFonts w:ascii="Times New Roman" w:eastAsia="Times New Roman" w:hAnsi="Times New Roman"/>
          <w:sz w:val="24"/>
          <w:szCs w:val="24"/>
        </w:rPr>
      </w:pPr>
    </w:p>
    <w:p w:rsidR="00000000" w:rsidRDefault="0066637D">
      <w:pPr>
        <w:pStyle w:val="3"/>
        <w:rPr>
          <w:rFonts w:eastAsia="Times New Roman"/>
        </w:rPr>
      </w:pPr>
      <w:r>
        <w:rPr>
          <w:rFonts w:eastAsia="Times New Roman"/>
        </w:rPr>
        <w:t>3</w:t>
      </w:r>
    </w:p>
    <w:p w:rsidR="00000000" w:rsidRDefault="0066637D">
      <w:pPr>
        <w:pStyle w:val="left"/>
      </w:pPr>
      <w:r>
        <w:t>Суммарные расходы, связанные со строительством (реконструкцией) газопроводов всех диаметров, материалов труб и типов прокладки, для случаев, когда протяженность строящейся (реконструируемой) сети газораспределения, измеряемая по прямой линии от границы зем</w:t>
      </w:r>
      <w:r>
        <w:t>ельного участка до сети газораспределения ГРО, составляет 150 метров и менее (столбец 5)</w:t>
      </w:r>
    </w:p>
    <w:p w:rsidR="00000000" w:rsidRDefault="0066637D">
      <w:pPr>
        <w:spacing w:after="240"/>
        <w:rPr>
          <w:rFonts w:ascii="Times New Roman" w:eastAsia="Times New Roman" w:hAnsi="Times New Roman"/>
          <w:sz w:val="24"/>
          <w:szCs w:val="24"/>
        </w:rPr>
      </w:pPr>
    </w:p>
    <w:p w:rsidR="00000000" w:rsidRDefault="0066637D">
      <w:pPr>
        <w:pStyle w:val="3"/>
        <w:rPr>
          <w:rFonts w:eastAsia="Times New Roman"/>
        </w:rPr>
      </w:pPr>
      <w:r>
        <w:rPr>
          <w:rFonts w:eastAsia="Times New Roman"/>
        </w:rPr>
        <w:t>4</w:t>
      </w:r>
    </w:p>
    <w:p w:rsidR="00000000" w:rsidRDefault="0066637D">
      <w:pPr>
        <w:pStyle w:val="left"/>
      </w:pPr>
      <w:r>
        <w:t>Суммарный максимальный часовой расход газа газоиспользующего оборудования Заявителей, подключаемого к строящимся (реконструируемым) газопроводам всех диаметров, мат</w:t>
      </w:r>
      <w:r>
        <w:t xml:space="preserve">ериалов труб и типов прокладки,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150 метров и менее </w:t>
      </w:r>
      <w:r>
        <w:rPr>
          <w:vertAlign w:val="superscript"/>
        </w:rPr>
        <w:t>1</w:t>
      </w:r>
      <w:r>
        <w:t xml:space="preserve"> (столбец 5)</w:t>
      </w:r>
    </w:p>
    <w:p w:rsidR="00000000" w:rsidRDefault="0066637D">
      <w:pPr>
        <w:spacing w:after="240"/>
        <w:rPr>
          <w:rFonts w:ascii="Times New Roman" w:eastAsia="Times New Roman" w:hAnsi="Times New Roman"/>
          <w:sz w:val="24"/>
          <w:szCs w:val="24"/>
        </w:rPr>
      </w:pPr>
    </w:p>
    <w:p w:rsidR="00000000" w:rsidRDefault="0066637D">
      <w:pPr>
        <w:pStyle w:val="3"/>
        <w:rPr>
          <w:rFonts w:eastAsia="Times New Roman"/>
        </w:rPr>
      </w:pPr>
      <w:r>
        <w:rPr>
          <w:rFonts w:eastAsia="Times New Roman"/>
        </w:rPr>
        <w:t>5</w:t>
      </w:r>
    </w:p>
    <w:p w:rsidR="00000000" w:rsidRDefault="0066637D">
      <w:pPr>
        <w:pStyle w:val="left"/>
      </w:pPr>
      <w:r>
        <w:t>Эф</w:t>
      </w:r>
      <w:r>
        <w:t xml:space="preserve">фективная ставка налога на прибыль </w:t>
      </w:r>
      <w:r>
        <w:rPr>
          <w:vertAlign w:val="superscript"/>
        </w:rPr>
        <w:t>2</w:t>
      </w:r>
      <w:r>
        <w:t xml:space="preserve"> (столбец 5)</w:t>
      </w:r>
    </w:p>
    <w:p w:rsidR="00000000" w:rsidRDefault="0066637D">
      <w:pPr>
        <w:spacing w:after="240"/>
        <w:rPr>
          <w:rFonts w:ascii="Times New Roman" w:eastAsia="Times New Roman" w:hAnsi="Times New Roman"/>
          <w:sz w:val="24"/>
          <w:szCs w:val="24"/>
        </w:rPr>
      </w:pPr>
    </w:p>
    <w:p w:rsidR="00000000" w:rsidRDefault="0066637D">
      <w:pPr>
        <w:pStyle w:val="3"/>
        <w:rPr>
          <w:rFonts w:eastAsia="Times New Roman"/>
        </w:rPr>
      </w:pPr>
      <w:r>
        <w:rPr>
          <w:rFonts w:eastAsia="Times New Roman"/>
        </w:rPr>
        <w:t>6</w:t>
      </w:r>
    </w:p>
    <w:p w:rsidR="00000000" w:rsidRDefault="0066637D">
      <w:pPr>
        <w:pStyle w:val="left"/>
      </w:pPr>
      <w:r>
        <w:t xml:space="preserve">Стандартизированная тарифная ставка </w:t>
      </w:r>
      <w:r>
        <w:rPr>
          <w:vertAlign w:val="superscript"/>
        </w:rPr>
        <w:t>3</w:t>
      </w:r>
      <w:r>
        <w:t xml:space="preserve"> (столбец 5)</w:t>
      </w:r>
    </w:p>
    <w:p w:rsidR="00000000" w:rsidRDefault="0066637D">
      <w:pPr>
        <w:spacing w:after="240"/>
        <w:rPr>
          <w:rFonts w:ascii="Times New Roman" w:eastAsia="Times New Roman" w:hAnsi="Times New Roman"/>
          <w:sz w:val="24"/>
          <w:szCs w:val="24"/>
        </w:rPr>
      </w:pPr>
    </w:p>
    <w:p w:rsidR="00000000" w:rsidRDefault="0066637D">
      <w:pPr>
        <w:pStyle w:val="just"/>
        <w:divId w:val="540484010"/>
      </w:pPr>
      <w:r>
        <w:t>К таблице прилагается расчет расходов по столбцу 3.</w:t>
      </w:r>
    </w:p>
    <w:p w:rsidR="00000000" w:rsidRDefault="0066637D">
      <w:pPr>
        <w:pStyle w:val="sel"/>
        <w:divId w:val="540484010"/>
      </w:pPr>
      <w:r>
        <w:t>1 Суммарный максимальный часовой расход газа газоиспользующего оборудования Заявителей, подключаемого к строящимся (реконструируемым) газопроводам всех диаметров, материалов труб и типов прокладки, для случаев, когда протяженность строящейся (реконструируе</w:t>
      </w:r>
      <w:r>
        <w:t>мой) сети газораспределения, измеряемая по прямой линии от границы земельного участка до сети газораспределения ГРО, составляет 150 метров и менее, указывается в м3/час.</w:t>
      </w:r>
    </w:p>
    <w:p w:rsidR="00000000" w:rsidRDefault="0066637D">
      <w:pPr>
        <w:pStyle w:val="sel"/>
        <w:divId w:val="540484010"/>
      </w:pPr>
      <w:r>
        <w:t>2 Эффективная ставка налога на прибыль указывается в %.</w:t>
      </w:r>
    </w:p>
    <w:p w:rsidR="00000000" w:rsidRDefault="0066637D">
      <w:pPr>
        <w:pStyle w:val="sel"/>
        <w:divId w:val="540484010"/>
      </w:pPr>
      <w:r>
        <w:t>3 Стандартизированная тарифная</w:t>
      </w:r>
      <w:r>
        <w:t xml:space="preserve"> ставка указывается в руб./м3.</w:t>
      </w:r>
    </w:p>
    <w:p w:rsidR="00000000" w:rsidRDefault="0066637D">
      <w:pPr>
        <w:pStyle w:val="right"/>
      </w:pPr>
      <w:r>
        <w:t>Источник - Приказ ФСТ России от 28.04.2014 № 101-э/3</w:t>
      </w:r>
    </w:p>
    <w:p w:rsidR="00000000" w:rsidRDefault="0066637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https://порядокправа.рф/obrazecy/raschet_standartizirovannoj_tarifnoj_stavki_na_pokrytie_rasxodov_gro_svyazannyx</w:t>
        </w:r>
        <w:r>
          <w:rPr>
            <w:rStyle w:val="a3"/>
            <w:rFonts w:ascii="Times New Roman" w:eastAsia="Times New Roman" w:hAnsi="Times New Roman"/>
            <w:sz w:val="24"/>
            <w:szCs w:val="24"/>
          </w:rPr>
          <w:t>_so_stroitelstvom_re.htm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6637D"/>
    <w:rsid w:val="006663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9E86C08-9191-4270-AB65-A97CE964A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48401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raschet_standartizirovannoj_tarifnoj_stavki_na_pokrytie_rasxodov_gro_svyazannyx_so_stroitelstvom_r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547</Words>
  <Characters>3119</Characters>
  <Application>Microsoft Office Word</Application>
  <DocSecurity>0</DocSecurity>
  <Lines>25</Lines>
  <Paragraphs>7</Paragraphs>
  <ScaleCrop>false</ScaleCrop>
  <Company/>
  <LinksUpToDate>false</LinksUpToDate>
  <CharactersWithSpaces>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Расчет стандартизированной тарифной ставки на покрытие расходов ГРО, связанных со строительством (реконструкцией) газопроводов, для случаев, когда протяженность строящейся (реконструируемой) сети газораспределения, измеряемая по прямой линии от границы земельного участка до сети газораспределения ГРО, составляет 150 метров и менее - DOC</dc:title>
  <dc:subject/>
  <dc:creator>Максим Давыдченков</dc:creator>
  <cp:keywords/>
  <dc:description/>
  <cp:lastModifiedBy>Максим Давыдченков</cp:lastModifiedBy>
  <cp:revision>2</cp:revision>
  <dcterms:created xsi:type="dcterms:W3CDTF">2022-08-19T20:07:00Z</dcterms:created>
  <dcterms:modified xsi:type="dcterms:W3CDTF">2022-08-19T20:07:00Z</dcterms:modified>
</cp:coreProperties>
</file>