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07C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подключение (технологическое присоединение)</w:t>
      </w:r>
    </w:p>
    <w:p w:rsidR="00000000" w:rsidRDefault="0020507C">
      <w:pPr>
        <w:pStyle w:val="right"/>
      </w:pPr>
      <w:r>
        <w:t xml:space="preserve">Приложение 1 к Методическим указаниям, утвержденным приказом ФСТ России от 28 апреля 2014 г. N 101-э/3 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расходов на подключение </w:t>
      </w:r>
      <w:r>
        <w:rPr>
          <w:rFonts w:eastAsia="Times New Roman"/>
        </w:rPr>
        <w:t>(технологическое присоединение) в случаях, указанных в подпунктах "а" и "б" пункта 5 Методических указаний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Диаметр газопровода, мм Единица измерения Расходы, связанные с разработкой проектной документации Расходы, связанные с выполнением технических </w:t>
      </w:r>
      <w:r>
        <w:rPr>
          <w:rFonts w:eastAsia="Times New Roman"/>
        </w:rPr>
        <w:t>условий Расходы, связанные с проверкой выполнения Заявителем технических условий Расходы, связанные с осуществлением фактического подключения (технологического присоединения) объектов капитального строительства Заявителя к сети газораспределения и проведен</w:t>
      </w:r>
      <w:r>
        <w:rPr>
          <w:rFonts w:eastAsia="Times New Roman"/>
        </w:rPr>
        <w:t>ием пуска газа Суммарные расходы на проведение мероприятий по подключению (технологическому присоединению) 1 2 3 4 5 6 7 8 1</w:t>
      </w:r>
    </w:p>
    <w:p w:rsidR="00000000" w:rsidRDefault="0020507C">
      <w:pPr>
        <w:pStyle w:val="left"/>
      </w:pPr>
      <w:r>
        <w:t>Стальные газопроводы подземного типа прокладки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20507C">
      <w:pPr>
        <w:pStyle w:val="left"/>
      </w:pPr>
      <w:r>
        <w:t>158 мм и менее (в расчете на одно подключение)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20507C">
      <w:pPr>
        <w:pStyle w:val="left"/>
      </w:pPr>
      <w:r>
        <w:t>Плановое количество</w:t>
      </w:r>
      <w:r>
        <w:t xml:space="preserve"> подключений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1.3</w:t>
      </w:r>
    </w:p>
    <w:p w:rsidR="00000000" w:rsidRDefault="0020507C">
      <w:pPr>
        <w:pStyle w:val="left"/>
      </w:pPr>
      <w:r>
        <w:t>Всего расходов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0507C">
      <w:pPr>
        <w:pStyle w:val="left"/>
      </w:pPr>
      <w:r>
        <w:t>Стальные газопроводы надземного типа прокладки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2.1</w:t>
      </w:r>
    </w:p>
    <w:p w:rsidR="00000000" w:rsidRDefault="0020507C">
      <w:pPr>
        <w:pStyle w:val="left"/>
      </w:pPr>
      <w:r>
        <w:t>158 мм и менее (в расчете на одно подключение)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тыс. руб.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2.2</w:t>
      </w:r>
    </w:p>
    <w:p w:rsidR="00000000" w:rsidRDefault="0020507C">
      <w:pPr>
        <w:pStyle w:val="left"/>
      </w:pPr>
      <w:r>
        <w:t>Плановое количество подключений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2.3</w:t>
      </w:r>
    </w:p>
    <w:p w:rsidR="00000000" w:rsidRDefault="0020507C">
      <w:pPr>
        <w:pStyle w:val="left"/>
      </w:pPr>
      <w:r>
        <w:t>Всего расходов (стол</w:t>
      </w:r>
      <w:r>
        <w:t>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0507C">
      <w:pPr>
        <w:pStyle w:val="left"/>
      </w:pPr>
      <w:r>
        <w:t>Полиэтиленовые газопроводы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3.1</w:t>
      </w:r>
    </w:p>
    <w:p w:rsidR="00000000" w:rsidRDefault="0020507C">
      <w:pPr>
        <w:pStyle w:val="left"/>
      </w:pPr>
      <w:r>
        <w:t>109 мм и менее (в расчете на одно подключение)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3.2</w:t>
      </w:r>
    </w:p>
    <w:p w:rsidR="00000000" w:rsidRDefault="0020507C">
      <w:pPr>
        <w:pStyle w:val="left"/>
      </w:pPr>
      <w:r>
        <w:t>Плановое количество подключений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3.3</w:t>
      </w:r>
    </w:p>
    <w:p w:rsidR="00000000" w:rsidRDefault="0020507C">
      <w:pPr>
        <w:pStyle w:val="left"/>
      </w:pPr>
      <w:r>
        <w:t>Всего расходов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0507C">
      <w:pPr>
        <w:pStyle w:val="left"/>
      </w:pPr>
      <w:r>
        <w:t>Всего расходов по всем типам газопроводов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0507C">
      <w:pPr>
        <w:pStyle w:val="left"/>
      </w:pPr>
      <w:r>
        <w:t>Суммарное плановое количество подключений по всем типам газопроводов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20507C">
      <w:pPr>
        <w:pStyle w:val="left"/>
      </w:pPr>
      <w:r>
        <w:t>Эффективная ставка налога на прибыль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20507C">
      <w:pPr>
        <w:pStyle w:val="left"/>
      </w:pPr>
      <w:r>
        <w:t>Сумма Налога на прибыль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20507C">
      <w:pPr>
        <w:pStyle w:val="left"/>
      </w:pPr>
      <w:r>
        <w:t>Вс</w:t>
      </w:r>
      <w:r>
        <w:t>его расходов на подключение (технологическое присоединение) (столбец 8)</w:t>
      </w:r>
    </w:p>
    <w:p w:rsidR="00000000" w:rsidRDefault="0020507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20507C">
      <w:pPr>
        <w:pStyle w:val="just"/>
      </w:pPr>
      <w:r>
        <w:t>Примечания:</w:t>
      </w:r>
    </w:p>
    <w:p w:rsidR="00000000" w:rsidRDefault="0020507C">
      <w:pPr>
        <w:pStyle w:val="just"/>
      </w:pPr>
      <w:r>
        <w:t>К таблице прилагается расчет расходов по столбцам 4, 5, 6, 7.</w:t>
      </w:r>
    </w:p>
    <w:p w:rsidR="00000000" w:rsidRDefault="00205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7C">
      <w:pPr>
        <w:pStyle w:val="right"/>
      </w:pPr>
      <w:r>
        <w:t>Источник - Приказ ФСТ России от 28.04.2014 № 101-э/3</w:t>
      </w:r>
    </w:p>
    <w:p w:rsidR="00000000" w:rsidRDefault="002050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https://порядокправа.рф/obrazecy/raschet_rasxodov_na_podklyuchenie_texnologi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cheskoe_prisoedinenie.htm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7C"/>
    <w:rsid w:val="0020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8B12B-A1F7-4477-B3DA-5D1E664C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podklyuchenie_texnologicheskoe_prisoedi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подключение (технологическое присоединение)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2022-08-19T19:23:00Z</dcterms:created>
  <dcterms:modified xsi:type="dcterms:W3CDTF">2022-08-19T19:23:00Z</dcterms:modified>
</cp:coreProperties>
</file>