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238FF">
      <w:pPr>
        <w:pStyle w:val="1"/>
        <w:rPr>
          <w:rFonts w:eastAsia="Times New Roman"/>
        </w:rPr>
      </w:pPr>
      <w:r>
        <w:rPr>
          <w:rFonts w:eastAsia="Times New Roman"/>
        </w:rPr>
        <w:t>Рамочное соглашение о создании приграничных ассоциаций частного права (англ.)</w:t>
      </w:r>
    </w:p>
    <w:p w:rsidR="00000000" w:rsidRDefault="004238FF">
      <w:pPr>
        <w:pStyle w:val="right"/>
      </w:pPr>
      <w:r>
        <w:t xml:space="preserve">Приложение </w:t>
      </w:r>
      <w:r>
        <w:br/>
        <w:t xml:space="preserve">к Конвенции Совета Европы </w:t>
      </w:r>
      <w:r>
        <w:br/>
        <w:t>от 21.05.1980 N 106</w:t>
      </w:r>
    </w:p>
    <w:p w:rsidR="00000000" w:rsidRDefault="004238FF">
      <w:pPr>
        <w:spacing w:after="240"/>
        <w:rPr>
          <w:rFonts w:ascii="Times New Roman" w:eastAsia="Times New Roman" w:hAnsi="Times New Roman"/>
          <w:sz w:val="24"/>
          <w:szCs w:val="24"/>
        </w:rPr>
      </w:pPr>
    </w:p>
    <w:p w:rsidR="00000000" w:rsidRDefault="004238FF">
      <w:pPr>
        <w:pStyle w:val="3"/>
        <w:rPr>
          <w:rFonts w:eastAsia="Times New Roman"/>
        </w:rPr>
      </w:pPr>
      <w:r>
        <w:rPr>
          <w:rFonts w:eastAsia="Times New Roman"/>
        </w:rPr>
        <w:t xml:space="preserve">2.3 Outline agreement </w:t>
      </w:r>
      <w:r>
        <w:rPr>
          <w:rFonts w:eastAsia="Times New Roman"/>
        </w:rPr>
        <w:t>on the setting up of private law transfrontier associations</w:t>
      </w:r>
    </w:p>
    <w:p w:rsidR="00000000" w:rsidRDefault="004238FF">
      <w:pPr>
        <w:pStyle w:val="just"/>
      </w:pPr>
      <w:r>
        <w:t>Introductory note: It is assumed that the local authority of one State may belong to a private law association of another State in accordance with the same rules and conditions as apply to that lo</w:t>
      </w:r>
      <w:r>
        <w:t>cal authority's membership of a private law association in its own State. If such is not the case at present, the possibility should be expressly provided for by means of an inter-state agreement between the States concerned (see inter-state model agreemen</w:t>
      </w:r>
      <w:r>
        <w:t>ts 1.3 and 1.4).</w:t>
      </w:r>
    </w:p>
    <w:p w:rsidR="00000000" w:rsidRDefault="004238FF">
      <w:pPr>
        <w:pStyle w:val="just"/>
      </w:pPr>
      <w:r>
        <w:t>Private associations are normally required to comply with rules laid down in the law of the country where they have their headquarters. The following list shows the provisions which should be included in their articles, where this is not s</w:t>
      </w:r>
      <w:r>
        <w:t>pecified by law. The provisions governing consultation groups (see outline agreement 2.1) may also apply, mutatis mutandis, to associations of this type.</w:t>
      </w:r>
    </w:p>
    <w:p w:rsidR="00000000" w:rsidRDefault="004238FF">
      <w:pPr>
        <w:pStyle w:val="just"/>
      </w:pPr>
      <w:r>
        <w:t>The association's Articles should specify:</w:t>
      </w:r>
    </w:p>
    <w:p w:rsidR="00000000" w:rsidRDefault="004238FF">
      <w:pPr>
        <w:pStyle w:val="just"/>
      </w:pPr>
      <w:r>
        <w:t xml:space="preserve">1 its founder members and the conditions for the admission </w:t>
      </w:r>
      <w:r>
        <w:t>of new members;</w:t>
      </w:r>
    </w:p>
    <w:p w:rsidR="00000000" w:rsidRDefault="004238FF">
      <w:pPr>
        <w:pStyle w:val="just"/>
      </w:pPr>
      <w:r>
        <w:t>2 its name, headquarters and legal form (with reference to the relevant national legislation);</w:t>
      </w:r>
    </w:p>
    <w:p w:rsidR="00000000" w:rsidRDefault="004238FF">
      <w:pPr>
        <w:pStyle w:val="just"/>
      </w:pPr>
      <w:r>
        <w:t>3 its object, the manner of achieving this object and the resources at the association's disposal;</w:t>
      </w:r>
    </w:p>
    <w:p w:rsidR="00000000" w:rsidRDefault="004238FF">
      <w:pPr>
        <w:pStyle w:val="just"/>
      </w:pPr>
      <w:r>
        <w:t>4 its bodies and in particular the functions a</w:t>
      </w:r>
      <w:r>
        <w:t>nd mode of operation of its General Assembly (representation and voting);</w:t>
      </w:r>
    </w:p>
    <w:p w:rsidR="00000000" w:rsidRDefault="004238FF">
      <w:pPr>
        <w:pStyle w:val="just"/>
      </w:pPr>
      <w:r>
        <w:t>5 appointment of administrators or executive officers and their powers;</w:t>
      </w:r>
    </w:p>
    <w:p w:rsidR="00000000" w:rsidRDefault="004238FF">
      <w:pPr>
        <w:pStyle w:val="just"/>
      </w:pPr>
      <w:r>
        <w:t>6 the extent of members' liabilities vis-a-vis third parties;</w:t>
      </w:r>
    </w:p>
    <w:p w:rsidR="00000000" w:rsidRDefault="004238FF">
      <w:pPr>
        <w:pStyle w:val="just"/>
      </w:pPr>
      <w:r>
        <w:t>7 conditions for modification of the articles an</w:t>
      </w:r>
      <w:r>
        <w:t>d for winding-up the association;</w:t>
      </w:r>
    </w:p>
    <w:p w:rsidR="00000000" w:rsidRDefault="004238FF">
      <w:pPr>
        <w:pStyle w:val="just"/>
      </w:pPr>
      <w:r>
        <w:t>8 an undertaking by the Parties to inform the Secretary General of the Council of Europe of the formation of a transfrontier association and to supply him with its articles.</w:t>
      </w:r>
    </w:p>
    <w:p w:rsidR="00000000" w:rsidRDefault="004238FF">
      <w:pPr>
        <w:spacing w:after="240"/>
        <w:rPr>
          <w:rFonts w:ascii="Times New Roman" w:eastAsia="Times New Roman" w:hAnsi="Times New Roman"/>
          <w:sz w:val="24"/>
          <w:szCs w:val="24"/>
        </w:rPr>
      </w:pPr>
    </w:p>
    <w:p w:rsidR="00000000" w:rsidRDefault="004238FF">
      <w:pPr>
        <w:pStyle w:val="right"/>
      </w:pPr>
      <w:r>
        <w:t>Источник - Конвенция СЕ от 21.05.1980 № 106</w:t>
      </w:r>
    </w:p>
    <w:p w:rsidR="00000000" w:rsidRDefault="004238FF">
      <w:pPr>
        <w:rPr>
          <w:rFonts w:ascii="Times New Roman" w:eastAsia="Times New Roman" w:hAnsi="Times New Roman"/>
          <w:sz w:val="24"/>
          <w:szCs w:val="24"/>
        </w:rPr>
      </w:pPr>
      <w:r>
        <w:rPr>
          <w:rFonts w:ascii="Times New Roman" w:eastAsia="Times New Roman" w:hAnsi="Times New Roman"/>
          <w:sz w:val="24"/>
          <w:szCs w:val="24"/>
        </w:rPr>
        <w:lastRenderedPageBreak/>
        <w:br/>
      </w:r>
      <w:r>
        <w:rPr>
          <w:rFonts w:ascii="Times New Roman" w:eastAsia="Times New Roman" w:hAnsi="Times New Roman"/>
          <w:sz w:val="24"/>
          <w:szCs w:val="24"/>
        </w:rPr>
        <w:br/>
        <w:t>С</w:t>
      </w:r>
      <w:r>
        <w:rPr>
          <w:rFonts w:ascii="Times New Roman" w:eastAsia="Times New Roman" w:hAnsi="Times New Roman"/>
          <w:sz w:val="24"/>
          <w:szCs w:val="24"/>
        </w:rPr>
        <w:t xml:space="preserve">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w:t>
        </w:r>
        <w:r>
          <w:rPr>
            <w:rStyle w:val="a3"/>
            <w:rFonts w:ascii="Times New Roman" w:eastAsia="Times New Roman" w:hAnsi="Times New Roman"/>
            <w:sz w:val="24"/>
            <w:szCs w:val="24"/>
          </w:rPr>
          <w:t>а.рф/obrazecy/ramochnoe_soglashenie_o_sozdanii_prigranichnyx_associacij_chastnogo_prava_angl.htm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238FF"/>
    <w:rsid w:val="00423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A67AE9F-6D5F-4E8B-B7A0-2E0900FD9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mochnoe_soglashenie_o_sozdanii_prigranichnyx_associacij_chastnogo_prava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Рамочное соглашение о создании приграничных ассоциаций частного права (англ.) - DOC</dc:title>
  <dc:subject/>
  <dc:creator>Максим Давыдченков</dc:creator>
  <cp:keywords/>
  <dc:description/>
  <cp:lastModifiedBy>Максим Давыдченков</cp:lastModifiedBy>
  <cp:revision>2</cp:revision>
  <dcterms:created xsi:type="dcterms:W3CDTF">2022-08-17T05:54:00Z</dcterms:created>
  <dcterms:modified xsi:type="dcterms:W3CDTF">2022-08-17T05:54:00Z</dcterms:modified>
</cp:coreProperties>
</file>