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2DA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о создании приграничных ассоциаций частного права</w:t>
      </w:r>
    </w:p>
    <w:p w:rsidR="00000000" w:rsidRDefault="007E52DA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  <w:t>от 21.05.1980 N 106</w:t>
      </w:r>
    </w:p>
    <w:p w:rsidR="00000000" w:rsidRDefault="007E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DA">
      <w:pPr>
        <w:pStyle w:val="3"/>
        <w:rPr>
          <w:rFonts w:eastAsia="Times New Roman"/>
        </w:rPr>
      </w:pPr>
      <w:r>
        <w:rPr>
          <w:rFonts w:eastAsia="Times New Roman"/>
        </w:rPr>
        <w:t>2.3. Рамочное соглашение о создании приграничных ассоциаций частного права</w:t>
      </w:r>
    </w:p>
    <w:p w:rsidR="00000000" w:rsidRDefault="007E52DA">
      <w:pPr>
        <w:pStyle w:val="just"/>
      </w:pPr>
      <w:r>
        <w:t>Вступительное замечание: Предполагается, что местные власти одного государства могут принадлежать к ассоциации частного права другого государства в соответствии с правилами и на условиях, которые применяются к членству данной местной власти в ассоциации ча</w:t>
      </w:r>
      <w:r>
        <w:t>стного права в собственном государстве. Если это не так, необходимо специально предусмотреть такую возможность путем заключения межгосударственного соглашения между заинтересованными государствами (см. межгосударственные Типовые соглашения 1.3 и 1.4).</w:t>
      </w:r>
    </w:p>
    <w:p w:rsidR="00000000" w:rsidRDefault="007E52DA">
      <w:pPr>
        <w:pStyle w:val="just"/>
      </w:pPr>
      <w:r>
        <w:t>Ассо</w:t>
      </w:r>
      <w:r>
        <w:t>циации частного права должны, как правило, следовать правилам, заложенным законодательством страны, где расположена их штаб-квартира. В нижеприведенном списке перечисляются положения, которые следует включить в их уставы, если это не оговорено законом. Пол</w:t>
      </w:r>
      <w:r>
        <w:t>ожения, регулирующие работу консультативных групп (см. раздел 2.1), могут также применяться mutatis mutandis к ассоциациям этого типа.</w:t>
      </w:r>
    </w:p>
    <w:p w:rsidR="00000000" w:rsidRDefault="007E52DA">
      <w:pPr>
        <w:pStyle w:val="just"/>
      </w:pPr>
      <w:r>
        <w:t>Устав ассоциации должен точно определять:</w:t>
      </w:r>
    </w:p>
    <w:p w:rsidR="00000000" w:rsidRDefault="007E52DA">
      <w:pPr>
        <w:pStyle w:val="just"/>
      </w:pPr>
      <w:r>
        <w:t>1) учредителей и условия приема новых членов;</w:t>
      </w:r>
    </w:p>
    <w:p w:rsidR="00000000" w:rsidRDefault="007E52DA">
      <w:pPr>
        <w:pStyle w:val="just"/>
      </w:pPr>
      <w:r>
        <w:t>2) название, местонахождение штаб</w:t>
      </w:r>
      <w:r>
        <w:t>-квартиры и правовую форму (со ссылкой на соответствующее национальное законодательство);</w:t>
      </w:r>
    </w:p>
    <w:p w:rsidR="00000000" w:rsidRDefault="007E52DA">
      <w:pPr>
        <w:pStyle w:val="just"/>
      </w:pPr>
      <w:r>
        <w:t>3) цель, способ ее достижения и ресурсы, имеющиеся в распоряжении ассоциации;</w:t>
      </w:r>
    </w:p>
    <w:p w:rsidR="00000000" w:rsidRDefault="007E52DA">
      <w:pPr>
        <w:pStyle w:val="just"/>
      </w:pPr>
      <w:r>
        <w:t>4) ее органы и особенно обязанности и порядок работы ее Генеральной ассамблеи, т.е. обще</w:t>
      </w:r>
      <w:r>
        <w:t>го собрания (представительство и голосование);</w:t>
      </w:r>
    </w:p>
    <w:p w:rsidR="00000000" w:rsidRDefault="007E52DA">
      <w:pPr>
        <w:pStyle w:val="just"/>
      </w:pPr>
      <w:r>
        <w:t>5) назначение официальных и ответственных лиц и их полномочия;</w:t>
      </w:r>
    </w:p>
    <w:p w:rsidR="00000000" w:rsidRDefault="007E52DA">
      <w:pPr>
        <w:pStyle w:val="just"/>
      </w:pPr>
      <w:r>
        <w:t>6) ответственность членов по отношению к третьей Стороне;</w:t>
      </w:r>
    </w:p>
    <w:p w:rsidR="00000000" w:rsidRDefault="007E52DA">
      <w:pPr>
        <w:pStyle w:val="just"/>
      </w:pPr>
      <w:r>
        <w:t>7) условия изменения уставов и ликвидации ассоциации;</w:t>
      </w:r>
    </w:p>
    <w:p w:rsidR="00000000" w:rsidRDefault="007E52DA">
      <w:pPr>
        <w:pStyle w:val="just"/>
      </w:pPr>
      <w:r>
        <w:t>8) обязанность Сторон информироват</w:t>
      </w:r>
      <w:r>
        <w:t>ь Генерального секретаря Совета Европы о создании приграничной ассоциации и предоставление ему ее устава.</w:t>
      </w:r>
    </w:p>
    <w:p w:rsidR="00000000" w:rsidRDefault="007E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2DA">
      <w:pPr>
        <w:pStyle w:val="right"/>
      </w:pPr>
      <w:r>
        <w:t>Источник - Конвенция СЕ от 21.05.1980 № 106</w:t>
      </w:r>
    </w:p>
    <w:p w:rsidR="00000000" w:rsidRDefault="007E5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https://порядокправа.рф/obrazecy/ramochnoe_soglashenie_o_sozdanii_prigranichnyx_associacij_chastnogo_prava.htm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DA"/>
    <w:rsid w:val="007E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4F2A9-FBDC-4D93-98BA-399A3660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o_sozdanii_prigranichnyx_associacij_chastnogo_pr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о создании приграничных ассоциаций частного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2022-08-17T05:54:00Z</dcterms:created>
  <dcterms:modified xsi:type="dcterms:W3CDTF">2022-08-17T05:54:00Z</dcterms:modified>
</cp:coreProperties>
</file>