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FC9">
      <w:pPr>
        <w:pStyle w:val="1"/>
        <w:rPr>
          <w:rFonts w:eastAsia="Times New Roman"/>
        </w:rPr>
      </w:pPr>
      <w:r>
        <w:rPr>
          <w:rFonts w:eastAsia="Times New Roman"/>
        </w:rPr>
        <w:t>Рамочное соглашение о координации управления приграничными местными общественными делами</w:t>
      </w:r>
    </w:p>
    <w:p w:rsidR="00000000" w:rsidRDefault="00726FC9">
      <w:pPr>
        <w:pStyle w:val="right"/>
      </w:pPr>
      <w:r>
        <w:t xml:space="preserve">Приложение </w:t>
      </w:r>
      <w:r>
        <w:br/>
        <w:t xml:space="preserve">к Конвенции Совета Европы </w:t>
      </w:r>
      <w:r>
        <w:br/>
        <w:t>от 21.05.1980 N 106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 xml:space="preserve">2.2 Рамочное соглашение </w:t>
      </w:r>
      <w:r>
        <w:rPr>
          <w:rFonts w:eastAsia="Times New Roman"/>
        </w:rPr>
        <w:t>о координации управления приграничными местными общественными делами</w:t>
      </w:r>
    </w:p>
    <w:p w:rsidR="00000000" w:rsidRDefault="00726FC9">
      <w:pPr>
        <w:pStyle w:val="just"/>
      </w:pPr>
      <w:r>
        <w:t>Вступительное замечание: В ряде государств этот тип соглашения о приграничном сотрудничестве стал уже возможным. Где этого нет, условия, при которых такое соглашение могло бы использовать</w:t>
      </w:r>
      <w:r>
        <w:t>ся, должны быть определены в рамках межгосударственного соглашения (см. Типовое соглашение 1.3).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Цель соглашения</w:t>
      </w: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726FC9">
      <w:pPr>
        <w:pStyle w:val="just"/>
      </w:pPr>
      <w:r>
        <w:t>Статья 1 определяет цель Соглашения (например, гармоничное развитие приграничных регионов) и связанные с ним области сотрудничества.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Территория действия Соглашения</w:t>
      </w: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726FC9">
      <w:pPr>
        <w:pStyle w:val="just"/>
      </w:pPr>
      <w:r>
        <w:t>Статья 2 должна давать определение территорий, на которые распространяется действие Соглашения на каждой стороне (или на трех сторонах) границы.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Обязательства</w:t>
      </w: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726FC9">
      <w:pPr>
        <w:pStyle w:val="just"/>
      </w:pPr>
      <w:r>
        <w:t>Статья 3 должна давать определение средств дос</w:t>
      </w:r>
      <w:r>
        <w:t>тижения целей Соглашения (статья 1). В соответствии с основным назначением Соглашения могут быть оговорены следующие обязательства:</w:t>
      </w:r>
    </w:p>
    <w:p w:rsidR="00000000" w:rsidRDefault="00726FC9">
      <w:pPr>
        <w:pStyle w:val="just"/>
      </w:pPr>
      <w:r>
        <w:lastRenderedPageBreak/>
        <w:t xml:space="preserve">- Стороны обязуются следовать процедуре предварительных консультаций, прежде чем принимать решения по ряду мер, которые они </w:t>
      </w:r>
      <w:r>
        <w:t>должны осуществлять в рамках своей компетенции и на управляемой ими территории;</w:t>
      </w:r>
    </w:p>
    <w:p w:rsidR="00000000" w:rsidRDefault="00726FC9">
      <w:pPr>
        <w:pStyle w:val="just"/>
      </w:pPr>
      <w:r>
        <w:t>- Стороны обязуются на своей территории и в рамках своей компетенции принимать меры, необходимые для достижения целей Соглашения;</w:t>
      </w:r>
    </w:p>
    <w:p w:rsidR="00000000" w:rsidRDefault="00726FC9">
      <w:pPr>
        <w:pStyle w:val="just"/>
      </w:pPr>
      <w:r>
        <w:t>- Стороны обязуются не делать ничего, что нане</w:t>
      </w:r>
      <w:r>
        <w:t>сло бы ущерб целям Соглашения.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Координация</w:t>
      </w: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726FC9">
      <w:pPr>
        <w:pStyle w:val="just"/>
      </w:pPr>
      <w:r>
        <w:t>Статья 4 должна определять, в соответствии с конкретными условиями и целями каждого соглашения, порядок координации:</w:t>
      </w:r>
    </w:p>
    <w:p w:rsidR="00000000" w:rsidRDefault="00726FC9">
      <w:pPr>
        <w:pStyle w:val="just"/>
      </w:pPr>
      <w:r>
        <w:t>- либо путем образования в целях координации группы общего назначения, упоминаемой в Р</w:t>
      </w:r>
      <w:r>
        <w:t>амочном соглашении 2.1;</w:t>
      </w:r>
    </w:p>
    <w:p w:rsidR="00000000" w:rsidRDefault="00726FC9">
      <w:pPr>
        <w:pStyle w:val="just"/>
      </w:pPr>
      <w:r>
        <w:t>- либо путем создания специальной консультативной группы, исходя из целей данного Соглашения;</w:t>
      </w:r>
    </w:p>
    <w:p w:rsidR="00000000" w:rsidRDefault="00726FC9">
      <w:pPr>
        <w:pStyle w:val="just"/>
      </w:pPr>
      <w:r>
        <w:t>- либо просто путем прямых двусторонних договоренностей между заинтересованными властями.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Согласительная процедура</w:t>
      </w: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726FC9">
      <w:pPr>
        <w:pStyle w:val="just"/>
      </w:pPr>
      <w:r>
        <w:t>Каждый член Группы (каждая Сторона, если Группы нет) может поставить в рамках Группы (перед другой Стороной, если Группы нет) любой вопрос, по которому, по его мнению, Соглашение не соблюдается, а именно:</w:t>
      </w:r>
    </w:p>
    <w:p w:rsidR="00000000" w:rsidRDefault="00726FC9">
      <w:pPr>
        <w:pStyle w:val="just"/>
      </w:pPr>
      <w:r>
        <w:t>- не были проведены предварительные консультации;</w:t>
      </w:r>
    </w:p>
    <w:p w:rsidR="00000000" w:rsidRDefault="00726FC9">
      <w:pPr>
        <w:pStyle w:val="just"/>
      </w:pPr>
      <w:r>
        <w:t>-</w:t>
      </w:r>
      <w:r>
        <w:t xml:space="preserve"> принимаемые меры не соответствуют Соглашению;</w:t>
      </w:r>
    </w:p>
    <w:p w:rsidR="00000000" w:rsidRDefault="00726FC9">
      <w:pPr>
        <w:pStyle w:val="just"/>
      </w:pPr>
      <w:r>
        <w:t>- не принимаются меры, необходимые для достижения целей Соглашения.</w:t>
      </w:r>
    </w:p>
    <w:p w:rsidR="00000000" w:rsidRDefault="00726FC9">
      <w:pPr>
        <w:pStyle w:val="just"/>
      </w:pPr>
      <w:r>
        <w:t>Если Стороны не смогут достичь согласия, спор может быть направлен в согласительную комиссию, которой поручено обеспечение соответствия предп</w:t>
      </w:r>
      <w:r>
        <w:t>ринимаемых действий принятым обязательствам.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Контролирующий орган</w:t>
      </w: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726FC9">
      <w:pPr>
        <w:pStyle w:val="just"/>
      </w:pPr>
      <w:r>
        <w:t>Для обеспечения выполнения принятых обязательств Стороны могут договориться о создании специального контролирующего органа, состоящего из равного числа экспертов, назначенных каждо</w:t>
      </w:r>
      <w:r>
        <w:t>й из Сторон, и нейтрального эксперта, назначение или способ назначения которого будет оговорен заранее.</w:t>
      </w:r>
    </w:p>
    <w:p w:rsidR="00000000" w:rsidRDefault="00726FC9">
      <w:pPr>
        <w:pStyle w:val="just"/>
      </w:pPr>
      <w:r>
        <w:t>Контролирующий орган высказывает мнение, которое он имеет право обнародовать, относительно соблюдения или несоблюдения Соглашения.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726FC9">
      <w:pPr>
        <w:pStyle w:val="just"/>
      </w:pPr>
      <w:r>
        <w:t>Стороны про</w:t>
      </w:r>
      <w:r>
        <w:t>информируют Генерального секретаря Совета Европы о заключении данного Соглашения и предоставят ему его текст.</w:t>
      </w:r>
    </w:p>
    <w:p w:rsidR="00000000" w:rsidRDefault="00726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C9">
      <w:pPr>
        <w:pStyle w:val="right"/>
      </w:pPr>
      <w:r>
        <w:t>Источник - Конвенция СЕ от 21.05.1980 № 106</w:t>
      </w:r>
    </w:p>
    <w:p w:rsidR="00000000" w:rsidRDefault="00726F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https://порядокправа.рф/obrazecy/ramochnoe_soglashenie_o_koordinacii_upravleniya_prigranichnymi_mestn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ymi_obshhestvennymi_delami.htm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C9"/>
    <w:rsid w:val="0072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51797-BB52-4D12-BB54-D0656835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oe_soglashenie_o_koordinacii_upravleniya_prigranichnymi_mestnymi_obshhestvennymi_de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Рамочное соглашение о координации управления приграничными местными общественными делами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2022-08-17T05:54:00Z</dcterms:created>
  <dcterms:modified xsi:type="dcterms:W3CDTF">2022-08-17T05:54:00Z</dcterms:modified>
</cp:coreProperties>
</file>