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4C6">
      <w:pPr>
        <w:pStyle w:val="1"/>
        <w:rPr>
          <w:rFonts w:eastAsia="Times New Roman"/>
        </w:rPr>
      </w:pPr>
      <w:r>
        <w:rPr>
          <w:rFonts w:eastAsia="Times New Roman"/>
        </w:rPr>
        <w:t>План реконструкции (модернизации) железнодорожного пути. Форма № П.1.1</w:t>
      </w:r>
    </w:p>
    <w:p w:rsidR="00000000" w:rsidRDefault="005B24C6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5B24C6">
      <w:pPr>
        <w:pStyle w:val="right"/>
      </w:pPr>
      <w:r>
        <w:t>Форма П.1.1</w:t>
      </w:r>
    </w:p>
    <w:p w:rsidR="00000000" w:rsidRDefault="005B2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4C6">
      <w:pPr>
        <w:pStyle w:val="3"/>
        <w:rPr>
          <w:rFonts w:eastAsia="Times New Roman"/>
        </w:rPr>
      </w:pPr>
      <w:r>
        <w:rPr>
          <w:rFonts w:eastAsia="Times New Roman"/>
        </w:rPr>
        <w:t>План реконструкции (модернизации) железнодорожного пути</w:t>
      </w:r>
    </w:p>
    <w:p w:rsidR="00000000" w:rsidRDefault="005B24C6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направления, перегона, станции Путь Начало: км, пк, м Конец: км, пк, м Протяженность ремонтируемого участка, км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Класс, группа, категория Грузонапряженность на 01.01 года, следующего за </w:t>
      </w:r>
      <w:r>
        <w:rPr>
          <w:rFonts w:eastAsia="Times New Roman"/>
        </w:rPr>
        <w:t>отчетным, млн. ткм брутто/км год Пропущенный тоннаж на 01.01 года, следующего за отчетным, млн. ткм брутто на км Срок службы, лет Скорость пасс. до ремонта, км/ч Скорость пасс. после ремонта, км/ч Скорость груз. до ремонта, км/ч Скорость груз. после ремонт</w:t>
      </w:r>
      <w:r>
        <w:rPr>
          <w:rFonts w:eastAsia="Times New Roman"/>
        </w:rPr>
        <w:t xml:space="preserve">а, км/ч Тип верхнего строения пути Протяженность участка, на котором повышается скорость пасс./груз, км Примечания До реконструкции (модернизации) После реконструкции Тип рельсов Род шпал Тип скрепления Род балласта Выход рельсов с начала укладки, шт./км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Количество дефектных рельсов, шт./км Количество негодных деревянных шпал, %, на км Количество негодных скреплений на км, % Загрязненность балласта &gt; 30%, % протяженности участка Количество шпал с выплесками на км, % Количество отступлений II степени на 3 </w:t>
      </w:r>
      <w:r>
        <w:rPr>
          <w:rFonts w:eastAsia="Times New Roman"/>
        </w:rPr>
        <w:t xml:space="preserve">месяца без учета отступлений по ширине колеи, шт./км Частота отказов, шт. в год/км Затраты на текущее содержание, доля от амортизации Тип рельсов Род шпал Тип скрепления Род балласта Тип разделительного слоя и его протяженность, км 1 2 3 4 5 6 7 8 9 10 11 </w:t>
      </w:r>
      <w:r>
        <w:rPr>
          <w:rFonts w:eastAsia="Times New Roman"/>
        </w:rPr>
        <w:t>12 13 14 15 16 17 18 19 20 21 22 23 24 25 26 27 28 29 30 31 32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lastRenderedPageBreak/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...</w:t>
      </w:r>
    </w:p>
    <w:p w:rsidR="00000000" w:rsidRDefault="005B24C6">
      <w:pPr>
        <w:pStyle w:val="left"/>
      </w:pPr>
      <w:r>
        <w:t>Итого по направлению</w:t>
      </w:r>
    </w:p>
    <w:p w:rsidR="00000000" w:rsidRDefault="005B24C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B24C6">
      <w:pPr>
        <w:pStyle w:val="left"/>
      </w:pPr>
      <w:r>
        <w:t>Всего по дороге</w:t>
      </w:r>
    </w:p>
    <w:p w:rsidR="00000000" w:rsidRDefault="005B24C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B24C6">
      <w:pPr>
        <w:pStyle w:val="sel"/>
        <w:divId w:val="1321813470"/>
      </w:pPr>
      <w:r>
        <w:t>1 С точностью до одного знака после запятой.</w:t>
      </w:r>
    </w:p>
    <w:p w:rsidR="00000000" w:rsidRDefault="005B24C6">
      <w:pPr>
        <w:pStyle w:val="sel"/>
        <w:divId w:val="1321813470"/>
      </w:pPr>
      <w:r>
        <w:t xml:space="preserve">2 При определении одиночного выхода рельсов учитываются дефекты, образование которых зависит и возрастает по мере наработки тоннажа (дефекты 10; 11.1-2; 17; 20; 21.1-2; 41), дефекты пятой группы (кроме дефектов </w:t>
      </w:r>
      <w:r>
        <w:t>55; 56.3; 59), дефекты седьмой группы. Выход уравнительных рельсов не учитывается.</w:t>
      </w:r>
    </w:p>
    <w:p w:rsidR="00000000" w:rsidRDefault="005B24C6">
      <w:pPr>
        <w:pStyle w:val="just"/>
      </w:pPr>
      <w:r>
        <w:t>Примечания.</w:t>
      </w:r>
    </w:p>
    <w:p w:rsidR="00000000" w:rsidRDefault="005B24C6">
      <w:pPr>
        <w:pStyle w:val="just"/>
      </w:pPr>
      <w:r>
        <w:t>1. В графе 16 при щебне слабых пород указывать: щ.сл.п.</w:t>
      </w:r>
    </w:p>
    <w:p w:rsidR="00000000" w:rsidRDefault="005B24C6">
      <w:pPr>
        <w:pStyle w:val="just"/>
      </w:pPr>
      <w:r>
        <w:t>2. В графе 26 указывается протяженность рельсов для скоростного совмещенного движения "СС", В и низкотемп</w:t>
      </w:r>
      <w:r>
        <w:t>ературной надежности "НК", "НЭ".</w:t>
      </w:r>
    </w:p>
    <w:p w:rsidR="00000000" w:rsidRDefault="005B24C6">
      <w:pPr>
        <w:pStyle w:val="just"/>
      </w:pPr>
      <w:r>
        <w:t>3. В графе 30 указывается тип разделительного слоя (песчано-гравийная смесь, геотекстиль, пенополистирол и др.) и его протяженность в километрах.</w:t>
      </w:r>
    </w:p>
    <w:p w:rsidR="00000000" w:rsidRDefault="005B24C6">
      <w:pPr>
        <w:pStyle w:val="just"/>
      </w:pPr>
      <w:r>
        <w:t>4. В графе 23 указываются отступления II степени за 3 последних "весенних мес</w:t>
      </w:r>
      <w:r>
        <w:t>яца".</w:t>
      </w:r>
    </w:p>
    <w:p w:rsidR="00000000" w:rsidRDefault="005B24C6">
      <w:pPr>
        <w:pStyle w:val="just"/>
      </w:pPr>
      <w:r>
        <w:t>5. В строках "Итого по направлению" и "Всего по дороге" указывается протяжение пути в зависимости от: в графах 14, 26 - рода шпал, 16, 28 - рода балласта, 15, 28 - типа скрепления, 30 - типа разделительного слоя, в графе 31 - протяженность участка, н</w:t>
      </w:r>
      <w:r>
        <w:t>а котором будет повышена скорость движения.</w:t>
      </w:r>
    </w:p>
    <w:p w:rsidR="00000000" w:rsidRDefault="005B24C6">
      <w:pPr>
        <w:pStyle w:val="just"/>
      </w:pPr>
      <w:r>
        <w:t>6. В графе 24 указывается частота отказов шт. в год/км, рассчитанная по методологии УРРАН.</w:t>
      </w:r>
    </w:p>
    <w:p w:rsidR="00000000" w:rsidRDefault="005B24C6">
      <w:pPr>
        <w:pStyle w:val="just"/>
      </w:pPr>
      <w:r>
        <w:t>7. В графе 25 указываются затраты на текущее содержание, доля от амортизации, рассчитанные по методологии УРРАН.</w:t>
      </w:r>
    </w:p>
    <w:p w:rsidR="00000000" w:rsidRDefault="005B24C6">
      <w:pPr>
        <w:pStyle w:val="just"/>
      </w:pPr>
      <w:r>
        <w:t>8. В гра</w:t>
      </w:r>
      <w:r>
        <w:t>фе 32 дается обоснование укладки деревянных шпал, протяженность сохраняемых плетей и др.</w:t>
      </w:r>
    </w:p>
    <w:p w:rsidR="00000000" w:rsidRDefault="005B2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4C6">
      <w:pPr>
        <w:pStyle w:val="right"/>
      </w:pPr>
      <w:r>
        <w:t>Источник - Распоряжение ОАО "РЖД" от 18.01.2013 № 75р</w:t>
      </w:r>
    </w:p>
    <w:p w:rsidR="00000000" w:rsidRDefault="005B2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https://порядокправа.рф/obrazecy/plan_rekonstrukcii_modernizacii_zheleznodorozhnogo_puti_forma_n_p11.htm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4C6"/>
    <w:rsid w:val="005B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18EF79-17AF-493C-B5E6-DEEB1222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81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ekonstrukcii_modernizacii_zheleznodorozhnogo_puti_forma_n_p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реконструкции (модернизации) железнодорожного пути. Форма № П.1.1 -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2022-08-14T17:06:00Z</dcterms:created>
  <dcterms:modified xsi:type="dcterms:W3CDTF">2022-08-14T17:06:00Z</dcterms:modified>
</cp:coreProperties>
</file>