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CE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(нормативов) оптимизации сети государственных (муниципальных) учреждений культуры, определенных "дорожной картой" (приложение к Соглашению </w:t>
      </w:r>
      <w:r>
        <w:rPr>
          <w:rFonts w:eastAsia="Times New Roman"/>
        </w:rPr>
        <w:t>между Министерством культуры Российской Федерации и высшим исполнительным органом государственной власти субъекта Российской Федерации об обеспечении достижения в 2014 - 2018 годах целевых показателей (нормативов) оптимизации сети государственных (муниципа</w:t>
      </w:r>
      <w:r>
        <w:rPr>
          <w:rFonts w:eastAsia="Times New Roman"/>
        </w:rPr>
        <w:t>льных) учреждений культуры, определенных региональным планом мероприятий ("дорожной картой") "Изменения в отраслях социальной сферы, направленные на повышение эффективности сферы культуры)")</w:t>
      </w:r>
    </w:p>
    <w:p w:rsidR="00000000" w:rsidRDefault="006A6CE9">
      <w:pPr>
        <w:pStyle w:val="right"/>
      </w:pPr>
      <w:r>
        <w:t>Приложение к Соглашению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(НОРМАТИВОВ</w:t>
      </w:r>
      <w:r>
        <w:rPr>
          <w:rFonts w:eastAsia="Times New Roman"/>
        </w:rPr>
        <w:t>) ОПТИМИЗАЦИИ СЕТИ ГОСУДАРСТВЕННЫХ (МУНИЦИПАЛЬНЫХ) УЧРЕЖДЕНИЙ КУЛЬТУРЫ, ОПРЕДЕЛЕННЫХ "ДОРОЖНОЙ КАРТОЙ"</w:t>
      </w: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2013 г. (отчет) 2014 г. 2015 г. 2016 г. 2017 г. 2018 г. 1</w:t>
      </w:r>
    </w:p>
    <w:p w:rsidR="00000000" w:rsidRDefault="006A6CE9">
      <w:pPr>
        <w:pStyle w:val="left"/>
      </w:pPr>
      <w:r>
        <w:lastRenderedPageBreak/>
        <w:t>Норматив числа получателей услуг на 1 работника учреждений культуры (п</w:t>
      </w:r>
      <w:r>
        <w:t xml:space="preserve">о среднесписочной численности работников) с учетом региональной специфики, человек (стр. 10 / стр. 11) </w:t>
      </w:r>
      <w:r>
        <w:rPr>
          <w:vertAlign w:val="superscript"/>
        </w:rPr>
        <w:t>1</w:t>
      </w:r>
      <w:r>
        <w:t xml:space="preserve"> 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A6CE9">
      <w:pPr>
        <w:pStyle w:val="left"/>
      </w:pPr>
      <w:r>
        <w:t>Соотношение средней заработной платы работников учреждений культуры и средней заработной платы в субъекте Российской Федерации, % (стр. 14 / стр. 1</w:t>
      </w:r>
      <w:r>
        <w:t>3)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A6CE9">
      <w:pPr>
        <w:pStyle w:val="left"/>
      </w:pPr>
      <w:r>
        <w:t>Прирост фонда оплаты труда с начислениями к 2013 г., млн. рублей (стр. 3 = стр. 17)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A6CE9">
      <w:pPr>
        <w:pStyle w:val="left"/>
      </w:pPr>
      <w:r>
        <w:t>Предусмотрено в консолидированном бюджете субъекта Российской Федерации, млн. рублей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A6CE9">
      <w:pPr>
        <w:pStyle w:val="left"/>
      </w:pPr>
      <w:r>
        <w:t>Соотношение объема средств от оптимизации к объему средств, предусмотренных</w:t>
      </w:r>
      <w:r>
        <w:t xml:space="preserve"> на повышение заработной платы (стр. 6 / стр. 17 * 100%), %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A6CE9">
      <w:pPr>
        <w:pStyle w:val="left"/>
      </w:pPr>
      <w:r>
        <w:t>Объем средств, полученных за счет проведения мероприятий по оптимизации (млн. рублей) (стр. 7 + стр. 8 + стр. 9), из них: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6A6CE9">
      <w:pPr>
        <w:pStyle w:val="left"/>
      </w:pPr>
      <w:r>
        <w:t>от реструктуризации сети, млн. рублей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6A6CE9">
      <w:pPr>
        <w:pStyle w:val="left"/>
      </w:pPr>
      <w:r>
        <w:t xml:space="preserve">от оптимизации численности </w:t>
      </w:r>
      <w:r>
        <w:t>персонала, в том числе административно-управленческого персонала, млн. рублей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6A6CE9">
      <w:pPr>
        <w:pStyle w:val="left"/>
      </w:pPr>
      <w:r>
        <w:t>от сокращения и оптимизации расходов на содержание учреждений, млн. рублей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left"/>
      </w:pPr>
      <w:r>
        <w:t>Справочно: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6A6CE9">
      <w:pPr>
        <w:pStyle w:val="left"/>
      </w:pPr>
      <w:r>
        <w:t>Число получателей услуг, человек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6A6CE9">
      <w:pPr>
        <w:pStyle w:val="left"/>
      </w:pPr>
      <w:r>
        <w:t>Среднесписочная численность работников учреждений культуры, человек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6A6CE9">
      <w:pPr>
        <w:pStyle w:val="left"/>
      </w:pPr>
      <w:r>
        <w:t>Численность населения субъекта Российской Федерации, человек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6A6CE9">
      <w:pPr>
        <w:pStyle w:val="left"/>
      </w:pPr>
      <w:r>
        <w:t>Средняя заработная плата работников по субъекту Российской Федерации, рублей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6A6CE9">
      <w:pPr>
        <w:pStyle w:val="left"/>
      </w:pPr>
      <w:r>
        <w:t>Средняя заработная плата работников уч</w:t>
      </w:r>
      <w:r>
        <w:t>реждений культуры, рублей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6A6CE9">
      <w:pPr>
        <w:pStyle w:val="left"/>
      </w:pPr>
      <w:r>
        <w:t>Доля средств от приносящей доход деятельности в фонде заработной платы по работникам учреждений культуры, %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6A6CE9">
      <w:pPr>
        <w:pStyle w:val="left"/>
      </w:pPr>
      <w:r>
        <w:t>Объем средств, направленных на повышение заработной платы работников учреждений культуры за счет средств от принос</w:t>
      </w:r>
      <w:r>
        <w:t>ящей доход деятельности, млн. рублей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6A6CE9">
      <w:pPr>
        <w:pStyle w:val="left"/>
      </w:pPr>
      <w:r>
        <w:t>Объем средств, предусмотренных на повышение заработной платы работников учреждений культуры, млн. рублей (стр. 4 + стр. 16)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sel"/>
        <w:divId w:val="1506820616"/>
      </w:pPr>
      <w:r>
        <w:t>1 Норматив устанавливается с учетом специфики отрасли культуры и региона.</w:t>
      </w:r>
    </w:p>
    <w:p w:rsidR="00000000" w:rsidRDefault="006A6CE9">
      <w:pPr>
        <w:pStyle w:val="just"/>
      </w:pPr>
      <w:r>
        <w:t>Показатели на прогнозный период определяются в соответствии с региональными планами мероприятий ("дорожными картами") изменений в отраслях социальной сферы, направленных на повышение</w:t>
      </w:r>
      <w:r>
        <w:t xml:space="preserve"> эффективности сферы культуры (2013 - 2018 годы). Отчет по показателям представляется на основе данных Росстата и данных, представленных высшими должностными лицами субъектов Российской Федерации.</w:t>
      </w:r>
    </w:p>
    <w:p w:rsidR="00000000" w:rsidRDefault="006A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CE9">
      <w:pPr>
        <w:pStyle w:val="right"/>
      </w:pPr>
      <w:r>
        <w:t>Источник - Приказ Минкультуры России от 12.05.2014 № 806</w:t>
      </w:r>
    </w:p>
    <w:p w:rsidR="00000000" w:rsidRDefault="006A6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https://порядокправа.рф/obrazecy/perechen_celevyx_pokazatelej_normativov_optimizacii_seti_gosudarstvennyx_municipalnyx_uchrezhdeni.htm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CE9"/>
    <w:rsid w:val="006A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EDD21-8333-4CC1-9D5F-1E563D66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82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normativov_optimizacii_seti_gosudarstvennyx_municipalnyx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(нормативов) оптимизации сети государственных (муниципальных) учреждений культуры, определенных "дорожной картой" (приложение к Соглашению между Министерством культуры Российской Федерации и высшим исполнительным органом государственной власти субъекта Российской Федерации об обеспечении достижения в 2014 - 2018 годах целевых показателей (нормативов) оптимизации сети государственных (муниципальных) учреждений культуры, определенных региональным планом мероприятий ("дорожной картой") "Изменения в отраслях социальной сферы, направленные на повышение эффективности сферы культуры)")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