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41F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естественной монополии, оказывающим услуги по использованию инфраструктуры внутренних водных путей</w:t>
      </w:r>
    </w:p>
    <w:p w:rsidR="00000000" w:rsidRDefault="0005041F">
      <w:pPr>
        <w:pStyle w:val="right"/>
      </w:pPr>
      <w:r>
        <w:t>Приложение N 5 к Приказу Федеральной службы по тарифам от 30 марта 2012 г. N 217-т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1F">
      <w:pPr>
        <w:pStyle w:val="right"/>
      </w:pPr>
      <w:r>
        <w:t>Форма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1F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естественной монополии, оказывающим услуги по использовани</w:t>
      </w:r>
      <w:r>
        <w:rPr>
          <w:rFonts w:eastAsia="Times New Roman"/>
        </w:rPr>
        <w:t>ю инфраструктуры внутренних водных путей</w:t>
      </w:r>
    </w:p>
    <w:p w:rsidR="00000000" w:rsidRDefault="0005041F">
      <w:pPr>
        <w:pStyle w:val="3"/>
        <w:rPr>
          <w:rFonts w:eastAsia="Times New Roman"/>
        </w:rPr>
      </w:pPr>
      <w:r>
        <w:rPr>
          <w:rFonts w:eastAsia="Times New Roman"/>
        </w:rPr>
        <w:t>Ед. изм.</w:t>
      </w:r>
    </w:p>
    <w:p w:rsidR="00000000" w:rsidRDefault="0005041F">
      <w:pPr>
        <w:pStyle w:val="3"/>
        <w:rPr>
          <w:rFonts w:eastAsia="Times New Roman"/>
        </w:rPr>
      </w:pPr>
      <w:r>
        <w:rPr>
          <w:rFonts w:eastAsia="Times New Roman"/>
        </w:rPr>
        <w:t xml:space="preserve">2012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2013 2014 2015 план факт план % измен. к пред. периоду факт % измен. к пред. периоду план % измен. к пред. периоду факт % измен. к пред. периоду план % измен. к пред. периоду факт % измен. к пред. пе</w:t>
      </w:r>
      <w:r>
        <w:rPr>
          <w:rFonts w:eastAsia="Times New Roman"/>
        </w:rPr>
        <w:t>риоду</w:t>
      </w:r>
    </w:p>
    <w:p w:rsidR="00000000" w:rsidRDefault="0005041F">
      <w:pPr>
        <w:pStyle w:val="left"/>
      </w:pPr>
      <w:r>
        <w:t>Объем оказываемых услуг</w:t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(1)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Условный объем судна (модуль)</w:t>
      </w:r>
    </w:p>
    <w:p w:rsidR="00000000" w:rsidRDefault="0005041F">
      <w:pPr>
        <w:pStyle w:val="left"/>
      </w:pPr>
      <w:r>
        <w:t>тыс. куб. м</w:t>
      </w:r>
    </w:p>
    <w:p w:rsidR="00000000" w:rsidRDefault="0005041F">
      <w:pPr>
        <w:pStyle w:val="left"/>
      </w:pPr>
      <w:r>
        <w:t>(2)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Годовые затраты на топливно-энергетические ресурсы</w:t>
      </w:r>
    </w:p>
    <w:p w:rsidR="00000000" w:rsidRDefault="0005041F">
      <w:pPr>
        <w:pStyle w:val="left"/>
      </w:pPr>
      <w:r>
        <w:t>Электроэнергия</w:t>
      </w:r>
    </w:p>
    <w:p w:rsidR="00000000" w:rsidRDefault="0005041F">
      <w:pPr>
        <w:pStyle w:val="left"/>
      </w:pPr>
      <w:r>
        <w:t>тыс. КВт.ч</w:t>
      </w:r>
    </w:p>
    <w:p w:rsidR="00000000" w:rsidRDefault="0005041F">
      <w:pPr>
        <w:pStyle w:val="left"/>
      </w:pPr>
      <w:r>
        <w:t>(3)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(4)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(5)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Тепловая энергия</w:t>
      </w:r>
    </w:p>
    <w:p w:rsidR="00000000" w:rsidRDefault="0005041F">
      <w:pPr>
        <w:pStyle w:val="left"/>
      </w:pPr>
      <w:r>
        <w:t>тыс. Гкал</w:t>
      </w:r>
    </w:p>
    <w:p w:rsidR="00000000" w:rsidRDefault="0005041F">
      <w:pPr>
        <w:pStyle w:val="left"/>
      </w:pPr>
      <w:r>
        <w:t>(6)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(7)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(8)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Дизельное топливо</w:t>
      </w:r>
    </w:p>
    <w:p w:rsidR="00000000" w:rsidRDefault="0005041F">
      <w:pPr>
        <w:pStyle w:val="left"/>
      </w:pPr>
      <w:r>
        <w:t>тыс. тонн</w:t>
      </w:r>
    </w:p>
    <w:p w:rsidR="00000000" w:rsidRDefault="0005041F">
      <w:pPr>
        <w:pStyle w:val="left"/>
      </w:pPr>
      <w:r>
        <w:t>(9)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(10)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(11)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Мазут</w:t>
      </w:r>
    </w:p>
    <w:p w:rsidR="00000000" w:rsidRDefault="0005041F">
      <w:pPr>
        <w:pStyle w:val="left"/>
      </w:pPr>
      <w:r>
        <w:t>тыс. тонн</w:t>
      </w:r>
    </w:p>
    <w:p w:rsidR="00000000" w:rsidRDefault="0005041F">
      <w:pPr>
        <w:pStyle w:val="left"/>
      </w:pPr>
      <w:r>
        <w:t>(12)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(13)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(14)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Бензин</w:t>
      </w:r>
    </w:p>
    <w:p w:rsidR="00000000" w:rsidRDefault="0005041F">
      <w:pPr>
        <w:pStyle w:val="left"/>
      </w:pPr>
      <w:r>
        <w:t>тыс. тонн</w:t>
      </w:r>
    </w:p>
    <w:p w:rsidR="00000000" w:rsidRDefault="0005041F">
      <w:pPr>
        <w:pStyle w:val="left"/>
      </w:pPr>
      <w:r>
        <w:t>(15)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(16)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(17)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Газ</w:t>
      </w:r>
    </w:p>
    <w:p w:rsidR="00000000" w:rsidRDefault="0005041F">
      <w:pPr>
        <w:pStyle w:val="left"/>
      </w:pPr>
      <w:r>
        <w:t>тыс. куб. м</w:t>
      </w:r>
    </w:p>
    <w:p w:rsidR="00000000" w:rsidRDefault="0005041F">
      <w:pPr>
        <w:pStyle w:val="left"/>
      </w:pPr>
      <w:r>
        <w:t>(18)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(19)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(20)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Уголь</w:t>
      </w:r>
    </w:p>
    <w:p w:rsidR="00000000" w:rsidRDefault="0005041F">
      <w:pPr>
        <w:pStyle w:val="left"/>
      </w:pPr>
      <w:r>
        <w:t>тыс. тонн</w:t>
      </w:r>
    </w:p>
    <w:p w:rsidR="00000000" w:rsidRDefault="0005041F">
      <w:pPr>
        <w:pStyle w:val="left"/>
      </w:pPr>
      <w:r>
        <w:t>(21)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(22)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(23)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Всего энергоресурсов</w:t>
      </w:r>
    </w:p>
    <w:p w:rsidR="00000000" w:rsidRDefault="0005041F">
      <w:pPr>
        <w:pStyle w:val="left"/>
      </w:pPr>
      <w:r>
        <w:t>тыс. т у.т.</w:t>
      </w:r>
    </w:p>
    <w:p w:rsidR="00000000" w:rsidRDefault="0005041F">
      <w:pPr>
        <w:pStyle w:val="left"/>
      </w:pPr>
      <w:r>
        <w:t>(24)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тыс. руб.</w:t>
      </w:r>
    </w:p>
    <w:p w:rsidR="00000000" w:rsidRDefault="0005041F">
      <w:pPr>
        <w:pStyle w:val="left"/>
      </w:pPr>
      <w:r>
        <w:t>(25)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Показатели энергоемкости</w:t>
      </w:r>
    </w:p>
    <w:p w:rsidR="00000000" w:rsidRDefault="0005041F">
      <w:pPr>
        <w:pStyle w:val="left"/>
      </w:pPr>
      <w:r>
        <w:t>Энергоемкость производственной деятельности на единицу условного объема (модуля) судна</w:t>
      </w:r>
    </w:p>
    <w:p w:rsidR="00000000" w:rsidRDefault="0005041F">
      <w:pPr>
        <w:pStyle w:val="left"/>
      </w:pPr>
      <w:r>
        <w:t>т у.т./ куб. м</w:t>
      </w:r>
    </w:p>
    <w:p w:rsidR="00000000" w:rsidRDefault="0005041F">
      <w:pPr>
        <w:pStyle w:val="left"/>
      </w:pPr>
      <w:r>
        <w:t>(26) = (24) / (2)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left"/>
      </w:pPr>
      <w:r>
        <w:t>Показатели энергоэффективности</w:t>
      </w:r>
    </w:p>
    <w:p w:rsidR="00000000" w:rsidRDefault="0005041F">
      <w:pPr>
        <w:pStyle w:val="left"/>
      </w:pPr>
      <w:r>
        <w:t>Энергоэффективность производственной деятельности (с учетом условного объема (модуля) обслуживаемых су</w:t>
      </w:r>
      <w:r>
        <w:t>дов)</w:t>
      </w:r>
    </w:p>
    <w:p w:rsidR="00000000" w:rsidRDefault="0005041F">
      <w:pPr>
        <w:pStyle w:val="left"/>
      </w:pPr>
      <w:r>
        <w:t>куб. м/т у.т.</w:t>
      </w:r>
    </w:p>
    <w:p w:rsidR="00000000" w:rsidRDefault="0005041F">
      <w:pPr>
        <w:pStyle w:val="left"/>
      </w:pPr>
      <w:r>
        <w:t>(27) = (2) / (24)</w:t>
      </w:r>
    </w:p>
    <w:p w:rsidR="00000000" w:rsidRDefault="000504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041F">
      <w:pPr>
        <w:pStyle w:val="sel"/>
        <w:divId w:val="796919094"/>
      </w:pPr>
      <w:r>
        <w:t>1 Данные указываются справочно на основании данных Отчетов о достижении целевых показателей энергосбережения и повышения энергетический эффективности субъектом регулирования за 2012 год.</w:t>
      </w:r>
    </w:p>
    <w:p w:rsidR="00000000" w:rsidRDefault="0005041F">
      <w:pPr>
        <w:pStyle w:val="right"/>
      </w:pPr>
      <w:r>
        <w:t xml:space="preserve">Источник - Приказ ФСТ России </w:t>
      </w:r>
      <w:r>
        <w:t>от 30.03.2012 № 217-т (с изменениями и дополнениями на 2014 год)</w:t>
      </w:r>
    </w:p>
    <w:p w:rsidR="00000000" w:rsidRDefault="00050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https://порядокправа.рф/obrazecy/otchet_o_dostizhenii_celevyx_pokazatelej_energosberezheniya_i_povysheniya_energeticheskoj_effektivnosti_sub.htm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1F"/>
    <w:rsid w:val="0005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4A891-7CFD-4102-AA6D-0DA86B2E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91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celevyx_pokazatelej_energosberezheniya_i_povysheniya_energeticheskoj_effektivnosti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целевых показателей энергосбережения и повышения энергетической эффективности субъектом естественной монополии, оказывающим услуги по использованию инфраструктуры внутренних водных путей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