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6D45">
      <w:pPr>
        <w:pStyle w:val="1"/>
        <w:rPr>
          <w:rFonts w:eastAsia="Times New Roman"/>
        </w:rPr>
      </w:pPr>
      <w:r>
        <w:rPr>
          <w:rFonts w:eastAsia="Times New Roman"/>
        </w:rPr>
        <w:t>Основные актуарные определения для оценки деятельности негосударственного пенсионного фонда</w:t>
      </w:r>
    </w:p>
    <w:p w:rsidR="00000000" w:rsidRDefault="00816D45">
      <w:pPr>
        <w:pStyle w:val="right"/>
      </w:pPr>
      <w:r>
        <w:t>Приложение No. 3</w:t>
      </w:r>
    </w:p>
    <w:p w:rsidR="00000000" w:rsidRDefault="00816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D45">
      <w:pPr>
        <w:pStyle w:val="right"/>
      </w:pPr>
      <w:r>
        <w:t xml:space="preserve">Утверждено </w:t>
      </w:r>
      <w:r>
        <w:br/>
        <w:t xml:space="preserve">Приказом Инспекции НПФ </w:t>
      </w:r>
      <w:r>
        <w:br/>
        <w:t>от 12.02.2001 No. 15</w:t>
      </w:r>
    </w:p>
    <w:p w:rsidR="00000000" w:rsidRDefault="00816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D45">
      <w:pPr>
        <w:pStyle w:val="3"/>
        <w:rPr>
          <w:rFonts w:eastAsia="Times New Roman"/>
        </w:rPr>
      </w:pPr>
      <w:r>
        <w:rPr>
          <w:rFonts w:eastAsia="Times New Roman"/>
        </w:rPr>
        <w:t>ОСНОВНЫЕ АКТУАРНЫЕ ОПРЕДЕЛЕНИЯ</w:t>
      </w:r>
    </w:p>
    <w:p w:rsidR="00000000" w:rsidRDefault="00816D45">
      <w:pPr>
        <w:pStyle w:val="just"/>
      </w:pPr>
      <w:r>
        <w:t>Актуарные пассивы - актуарная оценка величины обязательств НПФ на заданную дату.</w:t>
      </w:r>
    </w:p>
    <w:p w:rsidR="00000000" w:rsidRDefault="00816D45">
      <w:pPr>
        <w:pStyle w:val="just"/>
      </w:pPr>
      <w:r>
        <w:t>Пассивы - источники образования (целевое назначение) средств актива: денежные обязательства и задолженность фонда.</w:t>
      </w:r>
    </w:p>
    <w:p w:rsidR="00000000" w:rsidRDefault="00816D45">
      <w:pPr>
        <w:pStyle w:val="just"/>
      </w:pPr>
      <w:r>
        <w:t>Актуарная норма доходности (норма накопления) - процентная с</w:t>
      </w:r>
      <w:r>
        <w:t>тавка, установленная для проведения актуарных расчетов (постоянная или переменная).</w:t>
      </w:r>
    </w:p>
    <w:p w:rsidR="00000000" w:rsidRDefault="00816D45">
      <w:pPr>
        <w:pStyle w:val="just"/>
      </w:pPr>
      <w:r>
        <w:t>Бухгалтерская стоимость имущества - стоимость имущества, отраженная в бухгалтерском балансе.</w:t>
      </w:r>
    </w:p>
    <w:p w:rsidR="00000000" w:rsidRDefault="00816D45">
      <w:pPr>
        <w:pStyle w:val="just"/>
      </w:pPr>
      <w:r>
        <w:t>Рыночная стоимость имущества - величина денежных средств, которая может быть по</w:t>
      </w:r>
      <w:r>
        <w:t>лучена от реализации имущества.</w:t>
      </w:r>
    </w:p>
    <w:p w:rsidR="00000000" w:rsidRDefault="00816D45">
      <w:pPr>
        <w:pStyle w:val="just"/>
      </w:pPr>
      <w:r>
        <w:t>Активы Фонда - стоимость всего имущества НПФ, включая нематериальные активы и дебиторскую задолженность: бухгалтерская или рыночная.</w:t>
      </w:r>
    </w:p>
    <w:p w:rsidR="00000000" w:rsidRDefault="00816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D45">
      <w:pPr>
        <w:pStyle w:val="right"/>
      </w:pPr>
      <w:r>
        <w:t>Источник - Приказ Инспекции негосударственных пенсионных фондов от 12.02.2001 № 15</w:t>
      </w:r>
    </w:p>
    <w:p w:rsidR="00000000" w:rsidRDefault="00816D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порядокправа.рф/obrazecy/osnovnye_aktuarnye_opredeleniya_dlya_ocenki_deyatelnosti_negosudarstvennogo_pensionnogo_fonda.htm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D45"/>
    <w:rsid w:val="00816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CC9107-7081-4137-AF66-0FB18D8E9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aktuarnye_opredeleniya_dlya_ocenki_deyatelnosti_negosudarstvennogo_pensionnogo_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актуарные определения для оценки деятельности негосударственного пенсионного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2022-08-11T07:40:00Z</dcterms:created>
  <dcterms:modified xsi:type="dcterms:W3CDTF">2022-08-11T07:40:00Z</dcterms:modified>
</cp:coreProperties>
</file>