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8EF">
      <w:pPr>
        <w:pStyle w:val="1"/>
        <w:rPr>
          <w:rFonts w:eastAsia="Times New Roman"/>
        </w:rPr>
      </w:pPr>
      <w:r>
        <w:rPr>
          <w:rFonts w:eastAsia="Times New Roman"/>
        </w:rPr>
        <w:t>Образец письменной или телеграфной заявки по согласованию перевозок</w:t>
      </w:r>
    </w:p>
    <w:p w:rsidR="00000000" w:rsidRDefault="005A28EF">
      <w:pPr>
        <w:pStyle w:val="right"/>
      </w:pPr>
      <w:r>
        <w:t xml:space="preserve">Приложение 19 (к п. 8.4) Инструкции Совета по железнодорожному транспорту СНГ от 19.10.2001 N ДЧ-1835 </w:t>
      </w:r>
    </w:p>
    <w:p w:rsidR="00000000" w:rsidRDefault="005A28EF">
      <w:pPr>
        <w:pStyle w:val="HTML"/>
      </w:pPr>
      <w:r>
        <w:t xml:space="preserve">                            ОБРАЗЕЦ ПИСЬМЕННОЙ</w:t>
      </w:r>
    </w:p>
    <w:p w:rsidR="00000000" w:rsidRDefault="005A28EF">
      <w:pPr>
        <w:pStyle w:val="HTML"/>
      </w:pPr>
      <w:r>
        <w:t>ИЛИ ТЕЛЕГРАФНОЙ ЗАЯВКИ ПО СОГЛАСОВАНИЮ ПЕРЕВОЗОК</w:t>
      </w:r>
    </w:p>
    <w:p w:rsidR="00000000" w:rsidRDefault="005A28EF">
      <w:pPr>
        <w:pStyle w:val="HTML"/>
      </w:pPr>
      <w:r>
        <w:t>В СООТВЕТСТВИИ СО СТАТЬЕЙ 5 СИ К СМГС</w:t>
      </w:r>
    </w:p>
    <w:p w:rsidR="00000000" w:rsidRDefault="005A28EF">
      <w:pPr>
        <w:pStyle w:val="HTML"/>
      </w:pPr>
    </w:p>
    <w:p w:rsidR="00000000" w:rsidRDefault="005A28EF">
      <w:pPr>
        <w:pStyle w:val="HTML"/>
      </w:pPr>
      <w:r>
        <w:t>(формализованный вид)</w:t>
      </w:r>
    </w:p>
    <w:p w:rsidR="00000000" w:rsidRDefault="005A28EF">
      <w:pPr>
        <w:pStyle w:val="HTML"/>
      </w:pPr>
    </w:p>
    <w:p w:rsidR="00000000" w:rsidRDefault="005A28EF">
      <w:pPr>
        <w:pStyle w:val="HTML"/>
      </w:pPr>
      <w:r>
        <w:t>(1а)      наименование (род) груза;</w:t>
      </w:r>
    </w:p>
    <w:p w:rsidR="00000000" w:rsidRDefault="005A28EF">
      <w:pPr>
        <w:pStyle w:val="HTML"/>
      </w:pPr>
      <w:r>
        <w:t>(1б)      количество одинаковых грузов;</w:t>
      </w:r>
    </w:p>
    <w:p w:rsidR="00000000" w:rsidRDefault="005A28EF">
      <w:pPr>
        <w:pStyle w:val="HTML"/>
      </w:pPr>
      <w:r>
        <w:t>(2)       тип вагона;</w:t>
      </w:r>
    </w:p>
    <w:p w:rsidR="00000000" w:rsidRDefault="005A28EF">
      <w:pPr>
        <w:pStyle w:val="HTML"/>
      </w:pPr>
      <w:r>
        <w:t xml:space="preserve">(3)  </w:t>
      </w:r>
      <w:r>
        <w:rPr>
          <w:vertAlign w:val="superscript"/>
        </w:rPr>
        <w:t>1</w:t>
      </w:r>
      <w:r>
        <w:t xml:space="preserve">    база вагона;</w:t>
      </w:r>
    </w:p>
    <w:p w:rsidR="00000000" w:rsidRDefault="005A28EF">
      <w:pPr>
        <w:pStyle w:val="HTML"/>
      </w:pPr>
      <w:r>
        <w:t xml:space="preserve">(4)  </w:t>
      </w:r>
      <w:r>
        <w:rPr>
          <w:vertAlign w:val="superscript"/>
        </w:rPr>
        <w:t>1</w:t>
      </w:r>
      <w:r>
        <w:t xml:space="preserve">    база тележек;</w:t>
      </w:r>
    </w:p>
    <w:p w:rsidR="00000000" w:rsidRDefault="005A28EF">
      <w:pPr>
        <w:pStyle w:val="HTML"/>
      </w:pPr>
      <w:r>
        <w:t xml:space="preserve">(5)  </w:t>
      </w:r>
      <w:r>
        <w:rPr>
          <w:vertAlign w:val="superscript"/>
        </w:rPr>
        <w:t>1</w:t>
      </w:r>
      <w:r>
        <w:t xml:space="preserve">    количество осей;</w:t>
      </w:r>
    </w:p>
    <w:p w:rsidR="00000000" w:rsidRDefault="005A28EF">
      <w:pPr>
        <w:pStyle w:val="HTML"/>
      </w:pPr>
      <w:r>
        <w:t xml:space="preserve">(6)  </w:t>
      </w:r>
      <w:r>
        <w:rPr>
          <w:vertAlign w:val="superscript"/>
        </w:rPr>
        <w:t>1</w:t>
      </w:r>
      <w:r>
        <w:t xml:space="preserve">    длина вагона по буферам;</w:t>
      </w:r>
    </w:p>
    <w:p w:rsidR="00000000" w:rsidRDefault="005A28EF">
      <w:pPr>
        <w:pStyle w:val="HTML"/>
      </w:pPr>
      <w:r>
        <w:t xml:space="preserve">(7)  </w:t>
      </w:r>
      <w:r>
        <w:rPr>
          <w:vertAlign w:val="superscript"/>
        </w:rPr>
        <w:t>1</w:t>
      </w:r>
      <w:r>
        <w:t xml:space="preserve">    тара вагона;</w:t>
      </w:r>
    </w:p>
    <w:p w:rsidR="00000000" w:rsidRDefault="005A28EF">
      <w:pPr>
        <w:pStyle w:val="HTML"/>
      </w:pPr>
      <w:r>
        <w:t>(8)       масса груза;</w:t>
      </w:r>
    </w:p>
    <w:p w:rsidR="00000000" w:rsidRDefault="005A28EF">
      <w:pPr>
        <w:pStyle w:val="HTML"/>
      </w:pPr>
      <w:r>
        <w:t xml:space="preserve">(9)  </w:t>
      </w:r>
      <w:r>
        <w:rPr>
          <w:vertAlign w:val="superscript"/>
        </w:rPr>
        <w:t>1</w:t>
      </w:r>
      <w:r>
        <w:t xml:space="preserve">    нагрузка на погонный метр пути;</w:t>
      </w:r>
    </w:p>
    <w:p w:rsidR="00000000" w:rsidRDefault="005A28EF">
      <w:pPr>
        <w:pStyle w:val="HTML"/>
      </w:pPr>
      <w:r>
        <w:t xml:space="preserve">(10)  </w:t>
      </w:r>
      <w:r>
        <w:rPr>
          <w:vertAlign w:val="superscript"/>
        </w:rPr>
        <w:t>1</w:t>
      </w:r>
      <w:r>
        <w:t xml:space="preserve">   нагрузка на ось вагона;</w:t>
      </w:r>
    </w:p>
    <w:p w:rsidR="00000000" w:rsidRDefault="005A28EF">
      <w:pPr>
        <w:pStyle w:val="HTML"/>
      </w:pPr>
      <w:r>
        <w:t>(11)      длина груза;</w:t>
      </w:r>
    </w:p>
    <w:p w:rsidR="00000000" w:rsidRDefault="005A28EF">
      <w:pPr>
        <w:pStyle w:val="HTML"/>
      </w:pPr>
      <w:r>
        <w:t>(12а)     ширина груза от оси пути с одной сторон</w:t>
      </w:r>
      <w:r>
        <w:t>ы;</w:t>
      </w:r>
    </w:p>
    <w:p w:rsidR="00000000" w:rsidRDefault="005A28EF">
      <w:pPr>
        <w:pStyle w:val="HTML"/>
      </w:pPr>
      <w:r>
        <w:t>(12б)     ширина груза от оси пути с другой стороны;</w:t>
      </w:r>
    </w:p>
    <w:p w:rsidR="00000000" w:rsidRDefault="005A28EF">
      <w:pPr>
        <w:pStyle w:val="HTML"/>
      </w:pPr>
      <w:r>
        <w:t xml:space="preserve">(13а)  </w:t>
      </w:r>
      <w:r>
        <w:rPr>
          <w:vertAlign w:val="superscript"/>
        </w:rPr>
        <w:t>1</w:t>
      </w:r>
      <w:r>
        <w:t xml:space="preserve">  высота критической точки контура груза от головки рельса;</w:t>
      </w:r>
    </w:p>
    <w:p w:rsidR="00000000" w:rsidRDefault="005A28EF">
      <w:pPr>
        <w:pStyle w:val="HTML"/>
      </w:pPr>
      <w:r>
        <w:t>(13б)     высота критической точки контура груза от пола вагона;</w:t>
      </w:r>
    </w:p>
    <w:p w:rsidR="00000000" w:rsidRDefault="005A28EF">
      <w:pPr>
        <w:pStyle w:val="HTML"/>
      </w:pPr>
      <w:r>
        <w:t xml:space="preserve">(14)  </w:t>
      </w:r>
      <w:r>
        <w:rPr>
          <w:vertAlign w:val="superscript"/>
        </w:rPr>
        <w:t>2</w:t>
      </w:r>
      <w:r>
        <w:t xml:space="preserve">   внутреннее расстояние критической точки от крайних осей и</w:t>
      </w:r>
      <w:r>
        <w:t>ли</w:t>
      </w:r>
    </w:p>
    <w:p w:rsidR="00000000" w:rsidRDefault="005A28EF">
      <w:pPr>
        <w:pStyle w:val="HTML"/>
      </w:pPr>
      <w:r>
        <w:t>шкворней тележки;</w:t>
      </w:r>
    </w:p>
    <w:p w:rsidR="00000000" w:rsidRDefault="005A28EF">
      <w:pPr>
        <w:pStyle w:val="HTML"/>
      </w:pPr>
      <w:r>
        <w:t xml:space="preserve">(15)  </w:t>
      </w:r>
      <w:r>
        <w:rPr>
          <w:vertAlign w:val="superscript"/>
        </w:rPr>
        <w:t>2</w:t>
      </w:r>
      <w:r>
        <w:t xml:space="preserve">   внешнее расстояние критической точки от крайних осей или шкворней</w:t>
      </w:r>
    </w:p>
    <w:p w:rsidR="00000000" w:rsidRDefault="005A28EF">
      <w:pPr>
        <w:pStyle w:val="HTML"/>
      </w:pPr>
      <w:r>
        <w:t>тележки;</w:t>
      </w:r>
    </w:p>
    <w:p w:rsidR="00000000" w:rsidRDefault="005A28EF">
      <w:pPr>
        <w:pStyle w:val="HTML"/>
      </w:pPr>
      <w:r>
        <w:t xml:space="preserve">(16)  </w:t>
      </w:r>
      <w:r>
        <w:rPr>
          <w:vertAlign w:val="superscript"/>
        </w:rPr>
        <w:t>2</w:t>
      </w:r>
      <w:r>
        <w:t xml:space="preserve">   допуски для безопасности движения при перевозках;</w:t>
      </w:r>
    </w:p>
    <w:p w:rsidR="00000000" w:rsidRDefault="005A28EF">
      <w:pPr>
        <w:pStyle w:val="HTML"/>
      </w:pPr>
      <w:r>
        <w:t xml:space="preserve">(17)  </w:t>
      </w:r>
      <w:r>
        <w:rPr>
          <w:vertAlign w:val="superscript"/>
        </w:rPr>
        <w:t>2</w:t>
      </w:r>
      <w:r>
        <w:t xml:space="preserve">   </w:t>
      </w:r>
      <w:r>
        <w:t>вынос в кривых радиуса 250 м (внешний и внутренний);</w:t>
      </w:r>
    </w:p>
    <w:p w:rsidR="00000000" w:rsidRDefault="005A28EF">
      <w:pPr>
        <w:pStyle w:val="HTML"/>
      </w:pPr>
      <w:r>
        <w:t xml:space="preserve">(18)  </w:t>
      </w:r>
      <w:r>
        <w:rPr>
          <w:vertAlign w:val="superscript"/>
        </w:rPr>
        <w:t>2</w:t>
      </w:r>
      <w:r>
        <w:t xml:space="preserve">   общая ширина от оси пути (12) + (16) + (17);</w:t>
      </w:r>
    </w:p>
    <w:p w:rsidR="00000000" w:rsidRDefault="005A28EF">
      <w:pPr>
        <w:pStyle w:val="HTML"/>
      </w:pPr>
      <w:r>
        <w:t>(19)      координаты центра тяжести (высота центра тяжести от пола вагона,</w:t>
      </w:r>
    </w:p>
    <w:p w:rsidR="00000000" w:rsidRDefault="005A28EF">
      <w:pPr>
        <w:pStyle w:val="HTML"/>
      </w:pPr>
      <w:r>
        <w:t>расстояние центра тяжести в поперечном направлении с одной и с</w:t>
      </w:r>
    </w:p>
    <w:p w:rsidR="00000000" w:rsidRDefault="005A28EF">
      <w:pPr>
        <w:pStyle w:val="HTML"/>
      </w:pPr>
      <w:r>
        <w:t>другой сто</w:t>
      </w:r>
      <w:r>
        <w:t>роны груза в соответствии с данными кодов (12а) и</w:t>
      </w:r>
    </w:p>
    <w:p w:rsidR="00000000" w:rsidRDefault="005A28EF">
      <w:pPr>
        <w:pStyle w:val="HTML"/>
      </w:pPr>
      <w:r>
        <w:t>(12б), расстояние от центра тяжести от концов груза в продольном</w:t>
      </w:r>
    </w:p>
    <w:p w:rsidR="00000000" w:rsidRDefault="005A28EF">
      <w:pPr>
        <w:pStyle w:val="HTML"/>
      </w:pPr>
      <w:r>
        <w:t>направлении в соответствии с кодом (11));</w:t>
      </w:r>
    </w:p>
    <w:p w:rsidR="00000000" w:rsidRDefault="005A28EF">
      <w:pPr>
        <w:pStyle w:val="HTML"/>
      </w:pPr>
      <w:r>
        <w:t>(20)      отправитель;</w:t>
      </w:r>
    </w:p>
    <w:p w:rsidR="00000000" w:rsidRDefault="005A28EF">
      <w:pPr>
        <w:pStyle w:val="HTML"/>
      </w:pPr>
      <w:r>
        <w:t>(21)      станция отправления;</w:t>
      </w:r>
    </w:p>
    <w:p w:rsidR="00000000" w:rsidRDefault="005A28EF">
      <w:pPr>
        <w:pStyle w:val="HTML"/>
      </w:pPr>
      <w:r>
        <w:t>(22)      станция назначения;</w:t>
      </w:r>
    </w:p>
    <w:p w:rsidR="00000000" w:rsidRDefault="005A28EF">
      <w:pPr>
        <w:pStyle w:val="HTML"/>
      </w:pPr>
      <w:r>
        <w:t xml:space="preserve">(23)      путь </w:t>
      </w:r>
      <w:r>
        <w:t>следования, предложенный отправителем (пограничные станции);</w:t>
      </w:r>
    </w:p>
    <w:p w:rsidR="00000000" w:rsidRDefault="005A28EF">
      <w:pPr>
        <w:pStyle w:val="HTML"/>
      </w:pPr>
      <w:r>
        <w:t>(27)      получатель;</w:t>
      </w:r>
    </w:p>
    <w:p w:rsidR="00000000" w:rsidRDefault="005A28EF">
      <w:pPr>
        <w:pStyle w:val="HTML"/>
      </w:pPr>
      <w:r>
        <w:t>(34)      время предполагаемого отправления;</w:t>
      </w:r>
    </w:p>
    <w:p w:rsidR="00000000" w:rsidRDefault="005A28EF">
      <w:pPr>
        <w:pStyle w:val="HTML"/>
      </w:pPr>
      <w:r>
        <w:t>(35)      номер внешнеторгового договора;</w:t>
      </w:r>
    </w:p>
    <w:p w:rsidR="00000000" w:rsidRDefault="005A28EF">
      <w:pPr>
        <w:pStyle w:val="HTML"/>
      </w:pPr>
      <w:r>
        <w:t>(36)      прочие данные (номер транса, наличие особых условий и т.п.).</w:t>
      </w:r>
    </w:p>
    <w:p w:rsidR="00000000" w:rsidRDefault="005A2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8EF">
      <w:pPr>
        <w:pStyle w:val="sel"/>
        <w:divId w:val="1319650160"/>
      </w:pPr>
      <w:r>
        <w:t xml:space="preserve">1 Заполняется </w:t>
      </w:r>
      <w:r>
        <w:t>при перевозке в бесперегрузочном сообщении.</w:t>
      </w:r>
    </w:p>
    <w:p w:rsidR="00000000" w:rsidRDefault="005A28EF">
      <w:pPr>
        <w:pStyle w:val="sel"/>
        <w:divId w:val="1319650160"/>
      </w:pPr>
      <w:r>
        <w:t>2 Заполняется при необходимости при перевозке грузов в бесперегрузочном сообщении.</w:t>
      </w:r>
    </w:p>
    <w:p w:rsidR="00000000" w:rsidRDefault="005A28EF">
      <w:pPr>
        <w:pStyle w:val="right"/>
      </w:pPr>
      <w:r>
        <w:t>Источник - Инструкция Совета по железнодорожному транспорту СНГ от 19.10.2001 № ДЧ-1835 (с изменениями и дополнениями на 2006 год</w:t>
      </w:r>
      <w:r>
        <w:t>)</w:t>
      </w:r>
    </w:p>
    <w:p w:rsidR="00000000" w:rsidRDefault="005A28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obrazecy/obrazec_pismennoj_ili_telegrafnoj_zayavki_po_soglasovaniyu_perevozok.htm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8EF"/>
    <w:rsid w:val="005A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B682CE-EEB5-455F-8F92-4BC5A663C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650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ismennoj_ili_telegrafnoj_zayavki_po_soglasovaniyu_perevoz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письменной или телеграфной заявки по согласованию перевозок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2022-08-10T16:39:00Z</dcterms:created>
  <dcterms:modified xsi:type="dcterms:W3CDTF">2022-08-10T16:39:00Z</dcterms:modified>
</cp:coreProperties>
</file>