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671">
      <w:pPr>
        <w:pStyle w:val="1"/>
        <w:rPr>
          <w:rFonts w:eastAsia="Times New Roman"/>
        </w:rPr>
      </w:pPr>
      <w:r>
        <w:rPr>
          <w:rFonts w:eastAsia="Times New Roman"/>
        </w:rPr>
        <w:t>Комплексный план развития системы Роспатента до 2015 года</w:t>
      </w:r>
    </w:p>
    <w:p w:rsidR="00000000" w:rsidRDefault="004D4671">
      <w:pPr>
        <w:pStyle w:val="right"/>
      </w:pPr>
      <w:r>
        <w:t>Приложение N 2 к Приказу Роспатента от 4 декабря 2009 г. N 175</w:t>
      </w:r>
    </w:p>
    <w:p w:rsidR="00000000" w:rsidRDefault="004D4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671">
      <w:pPr>
        <w:pStyle w:val="3"/>
        <w:rPr>
          <w:rFonts w:eastAsia="Times New Roman"/>
        </w:rPr>
      </w:pPr>
      <w:r>
        <w:rPr>
          <w:rFonts w:eastAsia="Times New Roman"/>
        </w:rPr>
        <w:t>Комплексный план развития системы Роспатента до 2015 года</w:t>
      </w:r>
    </w:p>
    <w:p w:rsidR="00000000" w:rsidRDefault="004D467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мероприятия </w:t>
      </w:r>
      <w:r>
        <w:rPr>
          <w:rFonts w:eastAsia="Times New Roman"/>
        </w:rPr>
        <w:t>Сроки реализации Исполнители Наименование, номер и дата документа, в соответствии с которым работа считается выполненной по плану фактически</w:t>
      </w:r>
    </w:p>
    <w:p w:rsidR="00000000" w:rsidRDefault="004D46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D4671">
      <w:pPr>
        <w:pStyle w:val="right"/>
      </w:pPr>
      <w:r>
        <w:t>Источник - Приказ Роспатента от 04.12.2009 № 175 (с изменениями и дополнениями на 2014 год)</w:t>
      </w:r>
    </w:p>
    <w:p w:rsidR="00000000" w:rsidRDefault="004D4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https://порядокправа.рф/obrazecy/kompleksnyj_plan_razvit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iya_sistemy_rospatenta_do_2015_goda.htm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71"/>
    <w:rsid w:val="004D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66B26-29FE-4C14-89DC-3BB5CCC7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yj_plan_razvitiya_sistemy_rospatenta_do_2015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Комплексный план развития системы Роспатента до 2015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2022-08-09T19:14:00Z</dcterms:created>
  <dcterms:modified xsi:type="dcterms:W3CDTF">2022-08-09T19:14:00Z</dcterms:modified>
</cp:coreProperties>
</file>