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289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таможенных перевозчиков. Вариант 3</w:t>
      </w:r>
    </w:p>
    <w:p w:rsidR="00000000" w:rsidRDefault="00727289">
      <w:pPr>
        <w:pStyle w:val="right"/>
      </w:pPr>
      <w:r>
        <w:t xml:space="preserve">Утверждена Решением Комиссии таможенного союза от 20 мая 2010 года </w:t>
      </w:r>
      <w:r>
        <w:t>N 261 (в ред. Решения Комиссии Таможенного союза от 25.01.2012 N 916)</w:t>
      </w:r>
    </w:p>
    <w:p w:rsidR="00000000" w:rsidRDefault="00727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289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таможенных перевозчиков</w:t>
      </w:r>
    </w:p>
    <w:p w:rsidR="00000000" w:rsidRDefault="00727289">
      <w:pPr>
        <w:pStyle w:val="HTML"/>
      </w:pPr>
      <w:r>
        <w:t>--------------------------------------------------------------------------------------------------------------------------------------------</w:t>
      </w:r>
      <w:r>
        <w:t>------------------------------</w:t>
      </w:r>
    </w:p>
    <w:p w:rsidR="00000000" w:rsidRDefault="00727289">
      <w:pPr>
        <w:pStyle w:val="HTML"/>
      </w:pPr>
      <w:r>
        <w:t>¦ N  ¦Страна ¦     Номер     ¦    Дата     ¦Организационно- ¦Местонахождение ¦ИНН/УНП/РНН ¦    Буква     ¦     Номер      ¦ Дата окончания ¦     Код     ¦Дополнительная ¦</w:t>
      </w:r>
    </w:p>
    <w:p w:rsidR="00000000" w:rsidRDefault="00727289">
      <w:pPr>
        <w:pStyle w:val="HTML"/>
      </w:pPr>
      <w:r>
        <w:t>¦п/п ¦       ¦  документа,   ¦  включения  ¦правовая ф</w:t>
      </w:r>
      <w:r>
        <w:t xml:space="preserve">орма, ¦  таможенного   ¦   БИН  </w:t>
      </w:r>
      <w:r>
        <w:rPr>
          <w:vertAlign w:val="superscript"/>
        </w:rPr>
        <w:t>1</w:t>
      </w:r>
      <w:r>
        <w:t xml:space="preserve">   ¦ добавления,  ¦   документа,   ¦ срока действия ¦ таможенного ¦  информация   ¦</w:t>
      </w:r>
    </w:p>
    <w:p w:rsidR="00000000" w:rsidRDefault="00727289">
      <w:pPr>
        <w:pStyle w:val="HTML"/>
      </w:pPr>
      <w:r>
        <w:t xml:space="preserve">¦    ¦       ¦подтверждающего¦  в реестр   ¦  наименование  ¦  перевозчика,  ¦            ¦   в случае   ¦подтверждающего ¦   документа,   </w:t>
      </w:r>
      <w:r>
        <w:t xml:space="preserve">¦   органа,   ¦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727289">
      <w:pPr>
        <w:pStyle w:val="HTML"/>
      </w:pPr>
      <w:r>
        <w:t>¦    ¦       ¦   включение   ¦ таможенных  ¦  таможенного   ¦почтовый адрес, ¦            ¦   внесения   ¦  обеспечение   ¦подтверждающего ¦ включившего ¦               ¦</w:t>
      </w:r>
    </w:p>
    <w:p w:rsidR="00000000" w:rsidRDefault="00727289">
      <w:pPr>
        <w:pStyle w:val="HTML"/>
      </w:pPr>
      <w:r>
        <w:t>¦    ¦       ¦   в реестр    ¦перевозчиков ¦  перевоз</w:t>
      </w:r>
      <w:r>
        <w:t>чика   ¦ телефон, сайт  ¦            ¦  изменений   ¦     уплаты     ¦  обеспечение   ¦ юридическое ¦               ¦</w:t>
      </w:r>
    </w:p>
    <w:p w:rsidR="00000000" w:rsidRDefault="00727289">
      <w:pPr>
        <w:pStyle w:val="HTML"/>
      </w:pPr>
      <w:r>
        <w:t xml:space="preserve">¦    ¦       ¦  таможенных   ¦             ¦                ¦  в Интернете,  ¦            ¦ в документ,  ¦   таможенных   ¦     уплаты    </w:t>
      </w:r>
      <w:r>
        <w:t xml:space="preserve"> ¦   лицо в    ¦               ¦</w:t>
      </w:r>
    </w:p>
    <w:p w:rsidR="00000000" w:rsidRDefault="00727289">
      <w:pPr>
        <w:pStyle w:val="HTML"/>
      </w:pPr>
      <w:r>
        <w:t>¦    ¦       ¦ перевозчиков  ¦             ¦                ¦     адрес      ¦            ¦подтверждающий¦    пошлин,     ¦   таможенных   ¦   реестр    ¦               ¦</w:t>
      </w:r>
    </w:p>
    <w:p w:rsidR="00000000" w:rsidRDefault="00727289">
      <w:pPr>
        <w:pStyle w:val="HTML"/>
      </w:pPr>
      <w:r>
        <w:t xml:space="preserve">¦    ¦       ¦       </w:t>
      </w:r>
      <w:r>
        <w:rPr>
          <w:vertAlign w:val="superscript"/>
        </w:rPr>
        <w:t>1</w:t>
      </w:r>
      <w:r>
        <w:t xml:space="preserve">       ¦             ¦        </w:t>
      </w:r>
      <w:r>
        <w:t xml:space="preserve">        ¦  электронной   ¦            ¦  включение   ¦    налогов     ¦    пошлин,     ¦ таможенных  ¦               ¦</w:t>
      </w:r>
    </w:p>
    <w:p w:rsidR="00000000" w:rsidRDefault="00727289">
      <w:pPr>
        <w:pStyle w:val="HTML"/>
      </w:pPr>
      <w:r>
        <w:t xml:space="preserve">¦    ¦       ¦               ¦             ¦                ¦     почты      ¦            ¦ юридического ¦       </w:t>
      </w:r>
      <w:r>
        <w:rPr>
          <w:vertAlign w:val="superscript"/>
        </w:rPr>
        <w:t>1</w:t>
      </w:r>
      <w:r>
        <w:t xml:space="preserve">        ¦  налогов  </w:t>
      </w:r>
      <w:r>
        <w:rPr>
          <w:vertAlign w:val="superscript"/>
        </w:rPr>
        <w:t>1</w:t>
      </w:r>
      <w:r>
        <w:t xml:space="preserve">  </w:t>
      </w:r>
      <w:r>
        <w:t xml:space="preserve">  ¦перевозчиков ¦               ¦</w:t>
      </w:r>
    </w:p>
    <w:p w:rsidR="00000000" w:rsidRDefault="00727289">
      <w:pPr>
        <w:pStyle w:val="HTML"/>
      </w:pPr>
      <w:r>
        <w:t xml:space="preserve">¦    ¦       ¦               ¦             ¦                ¦                ¦            ¦лица в реестр ¦                ¦                ¦      </w:t>
      </w:r>
      <w:r>
        <w:rPr>
          <w:vertAlign w:val="superscript"/>
        </w:rPr>
        <w:t>1</w:t>
      </w:r>
      <w:r>
        <w:t xml:space="preserve">      ¦               ¦</w:t>
      </w:r>
    </w:p>
    <w:p w:rsidR="00000000" w:rsidRDefault="00727289">
      <w:pPr>
        <w:pStyle w:val="HTML"/>
      </w:pPr>
      <w:r>
        <w:t xml:space="preserve">¦    ¦       ¦               ¦             ¦       </w:t>
      </w:r>
      <w:r>
        <w:t xml:space="preserve">         ¦                ¦            ¦      </w:t>
      </w:r>
      <w:r>
        <w:rPr>
          <w:vertAlign w:val="superscript"/>
        </w:rPr>
        <w:t>1</w:t>
      </w:r>
      <w:r>
        <w:t xml:space="preserve">       ¦                ¦                ¦             ¦               ¦</w:t>
      </w:r>
    </w:p>
    <w:p w:rsidR="00000000" w:rsidRDefault="00727289">
      <w:pPr>
        <w:pStyle w:val="HTML"/>
      </w:pPr>
      <w:r>
        <w:t>+----+-------+---------------+-------------+----------------+----------------+------------+--------------+----------------+-------------</w:t>
      </w:r>
      <w:r>
        <w:t>---+-------------+---------------+</w:t>
      </w:r>
    </w:p>
    <w:p w:rsidR="00000000" w:rsidRDefault="00727289">
      <w:pPr>
        <w:pStyle w:val="HTML"/>
      </w:pPr>
      <w:r>
        <w:t>¦ 1  ¦   2   ¦       3       ¦      4      ¦       5        ¦       6        ¦     7      ¦      8       ¦       9        ¦       10       ¦     11      ¦      12       ¦</w:t>
      </w:r>
    </w:p>
    <w:p w:rsidR="00000000" w:rsidRDefault="00727289">
      <w:pPr>
        <w:pStyle w:val="HTML"/>
      </w:pPr>
      <w:r>
        <w:t>+----+-------+---------------+-------------+------</w:t>
      </w:r>
      <w:r>
        <w:t>----------+----------------+------------+--------------+----------------+----------------+-------------+---------------+</w:t>
      </w:r>
    </w:p>
    <w:p w:rsidR="00000000" w:rsidRDefault="00727289">
      <w:pPr>
        <w:pStyle w:val="HTML"/>
      </w:pPr>
      <w:r>
        <w:t xml:space="preserve">¦    ¦       ¦               ¦             ¦                ¦                ¦            ¦              ¦                ¦            </w:t>
      </w:r>
      <w:r>
        <w:t xml:space="preserve">    ¦             ¦               ¦</w:t>
      </w:r>
    </w:p>
    <w:p w:rsidR="00000000" w:rsidRDefault="00727289">
      <w:pPr>
        <w:pStyle w:val="HTML"/>
      </w:pPr>
      <w:r>
        <w:lastRenderedPageBreak/>
        <w:t>-----+-------+---------------+-------------+----------------+----------------+------------+--------------+----------------+----------------+-------------+----------------</w:t>
      </w:r>
    </w:p>
    <w:p w:rsidR="00000000" w:rsidRDefault="00727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289">
      <w:pPr>
        <w:pStyle w:val="sel"/>
        <w:divId w:val="1113356974"/>
      </w:pPr>
      <w:r>
        <w:t>1 Графа заполняется в порядке, установленном зак</w:t>
      </w:r>
      <w:r>
        <w:t>онодательством государства - члена таможенного союза.</w:t>
      </w:r>
    </w:p>
    <w:p w:rsidR="00000000" w:rsidRDefault="00727289">
      <w:pPr>
        <w:pStyle w:val="3"/>
        <w:rPr>
          <w:rFonts w:eastAsia="Times New Roman"/>
        </w:rPr>
      </w:pPr>
      <w:r>
        <w:rPr>
          <w:rFonts w:eastAsia="Times New Roman"/>
        </w:rPr>
        <w:t>Порядок формирования общего реестра таможенных перевозчиков</w:t>
      </w:r>
    </w:p>
    <w:p w:rsidR="00000000" w:rsidRDefault="00727289">
      <w:pPr>
        <w:pStyle w:val="just"/>
      </w:pPr>
      <w:r>
        <w:t>1. Формирование реестра таможенных перевозчиков включает в себя:</w:t>
      </w:r>
    </w:p>
    <w:p w:rsidR="00000000" w:rsidRDefault="00727289">
      <w:pPr>
        <w:pStyle w:val="just"/>
      </w:pPr>
      <w:r>
        <w:t>включение юридического лица в реестр таможенных перевозчиков;</w:t>
      </w:r>
    </w:p>
    <w:p w:rsidR="00000000" w:rsidRDefault="00727289">
      <w:pPr>
        <w:pStyle w:val="just"/>
      </w:pPr>
      <w:r>
        <w:t>исключение юрид</w:t>
      </w:r>
      <w:r>
        <w:t>ического лица из реестра таможенных перевозчиков;</w:t>
      </w:r>
    </w:p>
    <w:p w:rsidR="00000000" w:rsidRDefault="00727289">
      <w:pPr>
        <w:pStyle w:val="just"/>
      </w:pPr>
      <w:r>
        <w:t xml:space="preserve">внесение изменений в реестр таможенных перевозчиков в случае изменения </w:t>
      </w:r>
      <w:r>
        <w:t>сведений, заявленных юридическим лицом при включении в реестр таможенных перевозчиков.</w:t>
      </w:r>
    </w:p>
    <w:p w:rsidR="00000000" w:rsidRDefault="00727289">
      <w:pPr>
        <w:pStyle w:val="just"/>
      </w:pPr>
      <w:r>
        <w:t>2. Таможенный орган государства - члена таможенного союза обеспечивает направление в Комиссию таможенного союза реестра таможенных перевозчиков не позднее одного рабочег</w:t>
      </w:r>
      <w:r>
        <w:t>о дня с даты внесения в него изменений, в том числе с использованием информационных технологий.</w:t>
      </w:r>
    </w:p>
    <w:p w:rsidR="00000000" w:rsidRDefault="00727289">
      <w:pPr>
        <w:pStyle w:val="just"/>
      </w:pPr>
      <w:r>
        <w:t>3. Комиссия таможенного союза на основании реестров таможенных перевозчиков, поступивших в соответствии с пунктом 2 настоящего порядка из таможенных органов гос</w:t>
      </w:r>
      <w:r>
        <w:t>ударств - членов таможенного союза, формирует общий реестр таможенных перевозчиков и обеспечивает его опубликование на официальном сайте Комиссии таможенного союза не позднее одного рабочего дня с даты получения информации, упомянутой в пункте 2 настоящего</w:t>
      </w:r>
      <w:r>
        <w:t xml:space="preserve"> порядка, в том числе с использованием информационных технологий.</w:t>
      </w:r>
    </w:p>
    <w:p w:rsidR="00000000" w:rsidRDefault="00727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289">
      <w:pPr>
        <w:pStyle w:val="right"/>
      </w:pPr>
      <w:r>
        <w:t>Источник - Решение Комиссии Таможенного союза от 20.05.2010 № 261 (с изменениями и дополнениями на 2012 год)</w:t>
      </w:r>
    </w:p>
    <w:p w:rsidR="00000000" w:rsidRDefault="00727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https://порядокправа.рф/obrazecy/forma_obshhego_reestra_tamozhennyx_perevozchikov_3.htm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89"/>
    <w:rsid w:val="0072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BA660-1832-4AC4-92E9-C51EFAFC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35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tamozhennyx_perevozchik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таможенных перевозчиков.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