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A51">
      <w:pPr>
        <w:pStyle w:val="1"/>
        <w:rPr>
          <w:rFonts w:eastAsia="Times New Roman"/>
        </w:rPr>
      </w:pPr>
      <w:r>
        <w:rPr>
          <w:rFonts w:eastAsia="Times New Roman"/>
        </w:rPr>
        <w:t>Финансовые показатели фондов социального обеспечения (квартальная)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FC6A51">
      <w:pPr>
        <w:pStyle w:val="left"/>
      </w:pPr>
      <w:r>
        <w:t>Код формата ЕЭК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F11.006.40</w:t>
      </w:r>
    </w:p>
    <w:p w:rsidR="00000000" w:rsidRDefault="00FC6A51">
      <w:pPr>
        <w:pStyle w:val="left"/>
      </w:pPr>
      <w:r>
        <w:t>Периодичность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FC6A51">
      <w:pPr>
        <w:pStyle w:val="left"/>
      </w:pPr>
      <w:r>
        <w:t>Срок предоставления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на 40-й день</w:t>
      </w:r>
    </w:p>
    <w:p w:rsidR="00000000" w:rsidRDefault="00FC6A51">
      <w:pPr>
        <w:pStyle w:val="left"/>
      </w:pPr>
      <w:r>
        <w:t>Код страны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left"/>
      </w:pPr>
      <w:r>
        <w:t>Год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left"/>
      </w:pPr>
      <w:r>
        <w:t>Квартал (Q1, Q2, Q3, Q4)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Финансовые показатели фондов социального обеспечения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FC6A51">
      <w:pPr>
        <w:pStyle w:val="left"/>
      </w:pPr>
      <w:r>
        <w:t>Фонд социальной защиты населения РБ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6A51">
      <w:pPr>
        <w:pStyle w:val="left"/>
      </w:pPr>
      <w:r>
        <w:lastRenderedPageBreak/>
        <w:t>Государственный фон</w:t>
      </w:r>
      <w:r>
        <w:t>д социального страхования РК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6A51">
      <w:pPr>
        <w:pStyle w:val="left"/>
      </w:pPr>
      <w:r>
        <w:t>Пенсионный фонд РФ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6A51">
      <w:pPr>
        <w:pStyle w:val="left"/>
      </w:pPr>
      <w:r>
        <w:t>Федеральный фонд обязательного медицинского страхования РФ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6A51">
      <w:pPr>
        <w:pStyle w:val="left"/>
      </w:pPr>
      <w:r>
        <w:t>Территориальные фонды обязательного медицинского страхования РФ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C6A51">
      <w:pPr>
        <w:pStyle w:val="left"/>
      </w:pPr>
      <w:r>
        <w:t>Фонд социального страхования РФ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HTML"/>
      </w:pPr>
      <w:r>
        <w:t xml:space="preserve"> - Доходы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C6A51">
      <w:pPr>
        <w:pStyle w:val="HTML"/>
      </w:pPr>
      <w:r>
        <w:t xml:space="preserve"> - Расходы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C6A51">
      <w:pPr>
        <w:pStyle w:val="HTML"/>
      </w:pPr>
      <w:r>
        <w:t xml:space="preserve"> - Дефицит/Профицит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C6A51">
      <w:pPr>
        <w:pStyle w:val="left"/>
      </w:pPr>
      <w:r>
        <w:t>Контактное лицо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left"/>
      </w:pPr>
      <w:r>
        <w:t>Электронная почта</w:t>
      </w:r>
    </w:p>
    <w:p w:rsidR="00000000" w:rsidRDefault="00FC6A51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FC6A51">
      <w:pPr>
        <w:pStyle w:val="left"/>
      </w:pPr>
      <w:r>
        <w:t>Телефон</w:t>
      </w:r>
    </w:p>
    <w:p w:rsidR="00000000" w:rsidRDefault="00FC6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51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FC6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https://порядокправа.рф/obrazecy/finansovye_pokazateli_fondov_socialnogo_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obespecheniya_kvartalnaya.htm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51"/>
    <w:rsid w:val="00FC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5EF09-4B30-4B68-BFAF-7F8B04F4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e_pokazateli_fondov_socialnogo_obespecheniya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показатели фондов социального обеспечения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