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44A5">
      <w:pPr>
        <w:pStyle w:val="1"/>
        <w:rPr>
          <w:rFonts w:eastAsia="Times New Roman"/>
        </w:rPr>
      </w:pPr>
      <w:r>
        <w:rPr>
          <w:rFonts w:eastAsia="Times New Roman"/>
        </w:rPr>
        <w:t xml:space="preserve">Анализ изменения доходных поступлений от реализации субъектом регулирования права по установлению (изменению) уровня тарифов на услуги железнодорожного транспорта по </w:t>
      </w:r>
      <w:r>
        <w:rPr>
          <w:rFonts w:eastAsia="Times New Roman"/>
        </w:rPr>
        <w:t>перевозке грузов в рамках предельных уровней тарифов по видам сообщения, направлениям перевозок, родам грузов, типу и принадлежности подвижного состава (контейнеров, контрейлеров и иных транспортных единиц (средств)) в рамках ценовых пределов, установленны</w:t>
      </w:r>
      <w:r>
        <w:rPr>
          <w:rFonts w:eastAsia="Times New Roman"/>
        </w:rPr>
        <w:t>х в отдельных сегментах рынка железнодорожных транспортных услуг</w:t>
      </w:r>
    </w:p>
    <w:p w:rsidR="00000000" w:rsidRDefault="000444A5">
      <w:pPr>
        <w:pStyle w:val="right"/>
      </w:pPr>
      <w:r>
        <w:t>Приложение N 2 к Приказу ФСТ России от 18.12.2012 N 398-т/3 (в ред. Приказа ФСТ России от 27.12.2013 N 257-т/1)</w:t>
      </w:r>
    </w:p>
    <w:p w:rsidR="00000000" w:rsidRDefault="000444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44A5">
      <w:pPr>
        <w:pStyle w:val="3"/>
        <w:rPr>
          <w:rFonts w:eastAsia="Times New Roman"/>
        </w:rPr>
      </w:pPr>
      <w:r>
        <w:rPr>
          <w:rFonts w:eastAsia="Times New Roman"/>
        </w:rPr>
        <w:t>Анализ изменения доходных поступлений от реализации субъектом регулирования пр</w:t>
      </w:r>
      <w:r>
        <w:rPr>
          <w:rFonts w:eastAsia="Times New Roman"/>
        </w:rPr>
        <w:t>ава по установлению (изменению) уровня тарифов на услуги железнодорожного транспорта по перевозке грузов в рамках предельных уровней тарифов по видам сообщения, направлениям перевозок, родам грузов, типу и принадлежности подвижного состава (контейнеров, ко</w:t>
      </w:r>
      <w:r>
        <w:rPr>
          <w:rFonts w:eastAsia="Times New Roman"/>
        </w:rPr>
        <w:t xml:space="preserve">нтрейлеров и иных транспортных единиц (средств))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0444A5">
      <w:pPr>
        <w:pStyle w:val="left"/>
      </w:pPr>
      <w:r>
        <w:t>N п. п.</w:t>
      </w:r>
    </w:p>
    <w:p w:rsidR="00000000" w:rsidRDefault="000444A5">
      <w:pPr>
        <w:pStyle w:val="left"/>
      </w:pPr>
      <w:r>
        <w:t xml:space="preserve">Параметры перевозки </w:t>
      </w:r>
      <w:r>
        <w:rPr>
          <w:vertAlign w:val="superscript"/>
        </w:rPr>
        <w:t>2</w:t>
      </w:r>
      <w:r>
        <w:t xml:space="preserve"> </w:t>
      </w:r>
    </w:p>
    <w:p w:rsidR="00000000" w:rsidRDefault="000444A5">
      <w:pPr>
        <w:pStyle w:val="left"/>
      </w:pPr>
      <w:r>
        <w:t xml:space="preserve">Цель установления пониженного (повышенного) тарифа </w:t>
      </w:r>
      <w:r>
        <w:rPr>
          <w:vertAlign w:val="superscript"/>
        </w:rPr>
        <w:t>3</w:t>
      </w:r>
      <w:r>
        <w:t xml:space="preserve"> </w:t>
      </w:r>
    </w:p>
    <w:p w:rsidR="00000000" w:rsidRDefault="000444A5">
      <w:pPr>
        <w:pStyle w:val="left"/>
      </w:pPr>
      <w:r>
        <w:t>Срок окупаемости инвестиционного проекта</w:t>
      </w:r>
    </w:p>
    <w:p w:rsidR="00000000" w:rsidRDefault="000444A5">
      <w:pPr>
        <w:pStyle w:val="left"/>
      </w:pPr>
      <w:r>
        <w:t>Период, на который установлено решение субъекта регулирования</w:t>
      </w:r>
    </w:p>
    <w:p w:rsidR="00000000" w:rsidRDefault="000444A5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Тарифные условия</w:t>
      </w:r>
      <w:r>
        <w:rPr>
          <w:rFonts w:eastAsia="Times New Roman"/>
        </w:rPr>
        <w:t xml:space="preserve"> за предшествующий период Тарифные условия за текущий период Показатели за предшествующий период Показатели за текущий период полная тарифная ставка пониженный (повышенный) тариф размер скидки (наценки) полная тарифная ставка пониженный (повышенный) тариф </w:t>
      </w:r>
      <w:r>
        <w:rPr>
          <w:rFonts w:eastAsia="Times New Roman"/>
        </w:rPr>
        <w:t>размер скидки (наценки) объем перевозок средняя дальность доходы фактические сумма скидки (наценки) фактическая объем перевозок средняя дальность доходы фактические сумма скидки (наценки) фактическая руб. в год количество лет - груж. - руб./тонна, пор. - р</w:t>
      </w:r>
      <w:r>
        <w:rPr>
          <w:rFonts w:eastAsia="Times New Roman"/>
        </w:rPr>
        <w:t xml:space="preserve">уб./ваг. груж. - руб./тонна, пор. - руб./ваг. % груж. - руб./тонна, пор. - руб./ваг. груж. - руб./тонна, пор. - руб./ваг. % тыс.тонн тыс.вагонов км млн.руб. млн.руб. тыс.тонн тыс.вагонов км млн.руб. млн.руб. 1 2 3 4 5 6 7 8 9 10 11 12 13 14 15 16 17 18 19 </w:t>
      </w:r>
      <w:r>
        <w:rPr>
          <w:rFonts w:eastAsia="Times New Roman"/>
        </w:rPr>
        <w:t>20 21</w:t>
      </w:r>
    </w:p>
    <w:p w:rsidR="00000000" w:rsidRDefault="000444A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444A5">
      <w:pPr>
        <w:pStyle w:val="sel"/>
        <w:divId w:val="204373591"/>
      </w:pPr>
      <w:r>
        <w:t>1 Данная форма заполняется субъектом регулирования на основе данных за первый квартал, за полугодие, за 9 месяцев и за год предшествующего и текущего периодов.</w:t>
      </w:r>
    </w:p>
    <w:p w:rsidR="00000000" w:rsidRDefault="000444A5">
      <w:pPr>
        <w:pStyle w:val="sel"/>
        <w:divId w:val="204373591"/>
      </w:pPr>
      <w:r>
        <w:t>2 Указывается маршрут перевозки, род груза, тип и принадлежност</w:t>
      </w:r>
      <w:r>
        <w:t>ь подвижного состава (контейнера) и иные условия перевозки.</w:t>
      </w:r>
    </w:p>
    <w:p w:rsidR="00000000" w:rsidRDefault="000444A5">
      <w:pPr>
        <w:pStyle w:val="sel"/>
        <w:divId w:val="204373591"/>
      </w:pPr>
      <w:r>
        <w:t>3 Исходя из экономической эффективности для субъекта регулирования принятия такого решения или в целях поддержки иных отраслей экономики Российской Федерации.</w:t>
      </w:r>
    </w:p>
    <w:p w:rsidR="00000000" w:rsidRDefault="000444A5">
      <w:pPr>
        <w:pStyle w:val="right"/>
      </w:pPr>
      <w:r>
        <w:t>Источник - Приказ ФСТ России от 18.12</w:t>
      </w:r>
      <w:r>
        <w:t>.2012 № 398-т/3 (с изменениями и дополнениями на 2013 год)</w:t>
      </w:r>
    </w:p>
    <w:p w:rsidR="00000000" w:rsidRDefault="000444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https://порядокправа.рф/obrazecy/analiz_izmeneniya_doxodnyx_postuplenij_ot_realizacii_subektom_regulirovaniya_prava_po_ustanovleniyu_i.htm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4A5"/>
    <w:rsid w:val="00044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920664-3C87-43E1-A15A-40050F713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373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aliz_izmeneniya_doxodnyx_postuplenij_ot_realizacii_subektom_regulirovaniya_prava_po_ustanovleniyu_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437</Words>
  <Characters>2494</Characters>
  <Application>Microsoft Office Word</Application>
  <DocSecurity>0</DocSecurity>
  <Lines>20</Lines>
  <Paragraphs>5</Paragraphs>
  <ScaleCrop>false</ScaleCrop>
  <Company/>
  <LinksUpToDate>false</LinksUpToDate>
  <CharactersWithSpaces>2926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Анализ изменения доходных поступлений от реализации субъектом регулирования права по установлению (изменению) уровня тарифов на услуги железнодорожного транспорта по перевозке грузов в рамках предельных уровней тарифов по видам сообщения, направлениям перевозок, родам грузов, типу и принадлежности подвижного состава (контейнеров, контрейлеров и иных транспортных единиц (средств)) в рамках ценовых пределов, установленных в отдельных сегментах рынка железнодорожных транспортных услуг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2022-08-06T10:29:00Z</dcterms:created>
  <dcterms:modified xsi:type="dcterms:W3CDTF">2022-08-06T10:29:00Z</dcterms:modified>
</cp:coreProperties>
</file>