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53A">
      <w:pPr>
        <w:pStyle w:val="1"/>
        <w:rPr>
          <w:rFonts w:eastAsia="Times New Roman"/>
        </w:rPr>
      </w:pPr>
      <w:r>
        <w:rPr>
          <w:rFonts w:eastAsia="Times New Roman"/>
        </w:rPr>
        <w:t>Актуарное заключение о деятельности негосударственного пенсионного Фонда (структура и возможные варианты содержания)</w:t>
      </w:r>
    </w:p>
    <w:p w:rsidR="00000000" w:rsidRDefault="00D1153A">
      <w:pPr>
        <w:pStyle w:val="right"/>
      </w:pPr>
      <w:r>
        <w:t>Приложение No. 1</w:t>
      </w:r>
    </w:p>
    <w:p w:rsidR="00000000" w:rsidRDefault="00D11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3A">
      <w:pPr>
        <w:pStyle w:val="right"/>
      </w:pPr>
      <w:r>
        <w:t xml:space="preserve">Утверждено </w:t>
      </w:r>
      <w:r>
        <w:br/>
        <w:t xml:space="preserve">Приказом Инспекции НПФ </w:t>
      </w:r>
      <w:r>
        <w:br/>
        <w:t>от 12.02.2001 No. 15</w:t>
      </w:r>
    </w:p>
    <w:p w:rsidR="00000000" w:rsidRDefault="00D11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3A">
      <w:pPr>
        <w:pStyle w:val="3"/>
        <w:rPr>
          <w:rFonts w:eastAsia="Times New Roman"/>
        </w:rPr>
      </w:pPr>
      <w:r>
        <w:rPr>
          <w:rFonts w:eastAsia="Times New Roman"/>
        </w:rPr>
        <w:t>АКТУАРНОЕ ЗАКЛЮЧЕНИЕ</w:t>
      </w:r>
    </w:p>
    <w:p w:rsidR="00000000" w:rsidRDefault="00D1153A">
      <w:pPr>
        <w:pStyle w:val="3"/>
        <w:rPr>
          <w:rFonts w:eastAsia="Times New Roman"/>
        </w:rPr>
      </w:pPr>
      <w:r>
        <w:rPr>
          <w:rFonts w:eastAsia="Times New Roman"/>
        </w:rPr>
        <w:t>(Структура и возможные варианты содержания)</w:t>
      </w:r>
    </w:p>
    <w:p w:rsidR="00000000" w:rsidRDefault="00D1153A">
      <w:pPr>
        <w:pStyle w:val="just"/>
      </w:pPr>
      <w:r>
        <w:t>Название Фонда, номер лицензии и дата ее выдачи.</w:t>
      </w:r>
    </w:p>
    <w:p w:rsidR="00000000" w:rsidRDefault="00D1153A">
      <w:pPr>
        <w:pStyle w:val="just"/>
      </w:pPr>
      <w:r>
        <w:t>Причина проведения оценивания (ежегодное обязательное, обязательное при реорганизации фонда, иная причина). Перечисление нормативных актов, в соответствии с которы</w:t>
      </w:r>
      <w:r>
        <w:t>ми проведено актуарное оценивание.</w:t>
      </w:r>
    </w:p>
    <w:p w:rsidR="00000000" w:rsidRDefault="00D1153A">
      <w:pPr>
        <w:pStyle w:val="just"/>
      </w:pPr>
      <w:r>
        <w:t>Дата, по состоянию на которую проводилось актуарное оценивание.</w:t>
      </w:r>
    </w:p>
    <w:p w:rsidR="00000000" w:rsidRDefault="00D1153A">
      <w:pPr>
        <w:pStyle w:val="just"/>
      </w:pPr>
      <w:r>
        <w:t>1. По результатам проведенного мной актуарного оценивания на отчетную дату дефицит (профицит) составляет ХХ% (...актуарный баланс практически выдержан). Пенс</w:t>
      </w:r>
      <w:r>
        <w:t>ионные обязательства Фонда, составляющие ХХХХХХХХ рублей, (не) покрываются средствами пенсионного резерва.</w:t>
      </w:r>
    </w:p>
    <w:p w:rsidR="00000000" w:rsidRDefault="00D1153A">
      <w:pPr>
        <w:pStyle w:val="just"/>
      </w:pPr>
      <w:r>
        <w:t>2. Ликвидность активов позволяет в случае одновременного расторжения всех пенсионных договоров выплатить ХХ% выкупных сумм.</w:t>
      </w:r>
    </w:p>
    <w:p w:rsidR="00000000" w:rsidRDefault="00D1153A">
      <w:pPr>
        <w:pStyle w:val="just"/>
      </w:pPr>
      <w:r>
        <w:t>3. При проведении актуарн</w:t>
      </w:r>
      <w:r>
        <w:t>ого оценивания использовались следующие актуарные предположения: ... (указываются все актуарные предположения).</w:t>
      </w:r>
    </w:p>
    <w:p w:rsidR="00000000" w:rsidRDefault="00D1153A">
      <w:pPr>
        <w:pStyle w:val="just"/>
      </w:pPr>
      <w:r>
        <w:t xml:space="preserve">4. Правилами Фонда предусмотрено XX пенсионных схем. Фонд использует в практической работе XX из них (приводится список используемых пенсионных </w:t>
      </w:r>
      <w:r>
        <w:t>схем в строгом соответствии с актуарной классификацией пенсионных схем).</w:t>
      </w:r>
    </w:p>
    <w:p w:rsidR="00000000" w:rsidRDefault="00D1153A">
      <w:pPr>
        <w:pStyle w:val="just"/>
      </w:pPr>
      <w:r>
        <w:t>5. Комментарии актуария в зависимости от цели оценивания (например, для ежегодного обязательного оценивания: при сохранении существующих тенденций у Фонда в ближайшее время может появ</w:t>
      </w:r>
      <w:r>
        <w:t>иться актуарный дефицит, текущее финансовое положение Фонда устойчивое, ...).</w:t>
      </w:r>
    </w:p>
    <w:p w:rsidR="00000000" w:rsidRDefault="00D11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3A">
      <w:pPr>
        <w:pStyle w:val="HTML"/>
      </w:pPr>
      <w:r>
        <w:lastRenderedPageBreak/>
        <w:t>Подпись                         Ф.И.О.</w:t>
      </w:r>
    </w:p>
    <w:p w:rsidR="00000000" w:rsidRDefault="00D1153A">
      <w:pPr>
        <w:pStyle w:val="HTML"/>
      </w:pPr>
    </w:p>
    <w:p w:rsidR="00000000" w:rsidRDefault="00D1153A">
      <w:pPr>
        <w:pStyle w:val="HTML"/>
      </w:pPr>
      <w:r>
        <w:t>Дата</w:t>
      </w:r>
    </w:p>
    <w:p w:rsidR="00000000" w:rsidRDefault="00D11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3A">
      <w:pPr>
        <w:pStyle w:val="right"/>
      </w:pPr>
      <w:r>
        <w:t>Источник - Приказ Инспекции негосударственных пенсионных фондов от 12.02.2001 № 15</w:t>
      </w:r>
    </w:p>
    <w:p w:rsidR="00000000" w:rsidRDefault="00D115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https://порядокправа.рф/obrazecy/aktuarn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oe_zaklyuchenie_o_deyatelnosti_negosudarstvennogo_pensionnogo_fonda_struktura_i_vozmozhnye_vari.htm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53A"/>
    <w:rsid w:val="00D1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6AB9E-67D1-4961-9373-2C88A151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uarnoe_zaklyuchenie_o_deyatelnosti_negosudarstvennogo_pensionnogo_fonda_struktura_i_vozmozhnye_va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Актуарное заключение о деятельности негосударственного пенсионного Фонда (структура и возможные варианты содержания)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2022-08-06T10:22:00Z</dcterms:created>
  <dcterms:modified xsi:type="dcterms:W3CDTF">2022-08-06T10:22:00Z</dcterms:modified>
</cp:coreProperties>
</file>